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DD9E41">
      <w:pPr>
        <w:widowControl/>
        <w:spacing w:line="360" w:lineRule="auto"/>
        <w:jc w:val="center"/>
        <w:rPr>
          <w:rFonts w:hint="eastAsia" w:asciiTheme="minorHAnsi" w:hAnsiTheme="minorHAnsi" w:eastAsiaTheme="majorEastAsia" w:cstheme="minorHAnsi"/>
          <w:b/>
          <w:kern w:val="0"/>
          <w:sz w:val="32"/>
          <w:szCs w:val="21"/>
          <w:lang w:val="en-US" w:eastAsia="zh-CN"/>
        </w:rPr>
      </w:pPr>
      <w:r>
        <w:rPr>
          <w:rFonts w:hint="eastAsia" w:asciiTheme="minorHAnsi" w:hAnsiTheme="minorHAnsi" w:eastAsiaTheme="majorEastAsia" w:cstheme="minorHAnsi"/>
          <w:b/>
          <w:kern w:val="0"/>
          <w:sz w:val="32"/>
          <w:szCs w:val="21"/>
          <w:lang w:val="en-US" w:eastAsia="zh-CN"/>
        </w:rPr>
        <w:t>英国伦敦政治经济学院</w:t>
      </w:r>
    </w:p>
    <w:p w14:paraId="11C8737C">
      <w:pPr>
        <w:widowControl/>
        <w:spacing w:line="360" w:lineRule="auto"/>
        <w:jc w:val="center"/>
        <w:rPr>
          <w:rFonts w:hint="eastAsia" w:asciiTheme="minorHAnsi" w:hAnsiTheme="minorHAnsi" w:eastAsiaTheme="majorEastAsia" w:cstheme="minorHAnsi"/>
          <w:b/>
          <w:kern w:val="0"/>
          <w:sz w:val="32"/>
          <w:szCs w:val="21"/>
        </w:rPr>
      </w:pPr>
      <w:r>
        <w:rPr>
          <w:rFonts w:hint="eastAsia" w:asciiTheme="minorHAnsi" w:hAnsiTheme="minorHAnsi" w:eastAsiaTheme="majorEastAsia" w:cstheme="minorHAnsi"/>
          <w:b/>
          <w:kern w:val="0"/>
          <w:sz w:val="32"/>
          <w:szCs w:val="21"/>
        </w:rPr>
        <w:t>London School of Economics and Political Science</w:t>
      </w:r>
    </w:p>
    <w:p w14:paraId="5FF4127E">
      <w:pPr>
        <w:widowControl/>
        <w:spacing w:line="360" w:lineRule="auto"/>
        <w:jc w:val="center"/>
        <w:rPr>
          <w:rFonts w:hint="eastAsia" w:asciiTheme="minorHAnsi" w:hAnsiTheme="minorHAnsi" w:eastAsiaTheme="majorEastAsia" w:cstheme="minorHAnsi"/>
          <w:b/>
          <w:kern w:val="0"/>
          <w:sz w:val="32"/>
          <w:szCs w:val="21"/>
        </w:rPr>
      </w:pPr>
      <w:r>
        <w:rPr>
          <w:rFonts w:hint="eastAsia" w:asciiTheme="minorHAnsi" w:hAnsiTheme="minorHAnsi" w:eastAsiaTheme="majorEastAsia" w:cstheme="minorHAnsi"/>
          <w:b/>
          <w:kern w:val="0"/>
          <w:sz w:val="32"/>
          <w:szCs w:val="21"/>
        </w:rPr>
        <w:t>202</w:t>
      </w:r>
      <w:r>
        <w:rPr>
          <w:rFonts w:hint="eastAsia" w:asciiTheme="minorHAnsi" w:hAnsiTheme="minorHAnsi" w:eastAsiaTheme="majorEastAsia" w:cstheme="minorHAnsi"/>
          <w:b/>
          <w:kern w:val="0"/>
          <w:sz w:val="32"/>
          <w:szCs w:val="21"/>
          <w:lang w:val="en-US" w:eastAsia="zh-CN"/>
        </w:rPr>
        <w:t>6</w:t>
      </w:r>
      <w:r>
        <w:rPr>
          <w:rFonts w:hint="eastAsia" w:asciiTheme="minorHAnsi" w:hAnsiTheme="minorHAnsi" w:eastAsiaTheme="majorEastAsia" w:cstheme="minorHAnsi"/>
          <w:b/>
          <w:kern w:val="0"/>
          <w:sz w:val="32"/>
          <w:szCs w:val="21"/>
          <w:lang w:val="en-US" w:eastAsia="zh-Hans"/>
        </w:rPr>
        <w:t>暑期</w:t>
      </w:r>
      <w:r>
        <w:rPr>
          <w:rFonts w:hint="eastAsia" w:asciiTheme="minorHAnsi" w:hAnsiTheme="minorHAnsi" w:eastAsiaTheme="majorEastAsia" w:cstheme="minorHAnsi"/>
          <w:b/>
          <w:kern w:val="0"/>
          <w:sz w:val="32"/>
          <w:szCs w:val="21"/>
          <w:lang w:val="en-US" w:eastAsia="zh-CN"/>
        </w:rPr>
        <w:t>专业</w:t>
      </w:r>
      <w:r>
        <w:rPr>
          <w:rFonts w:hint="default" w:asciiTheme="minorHAnsi" w:hAnsiTheme="minorHAnsi" w:eastAsiaTheme="majorEastAsia" w:cstheme="minorHAnsi"/>
          <w:b/>
          <w:kern w:val="0"/>
          <w:sz w:val="32"/>
          <w:szCs w:val="21"/>
          <w:lang w:eastAsia="zh-CN"/>
          <w:woUserID w:val="2"/>
        </w:rPr>
        <w:t>学分</w:t>
      </w:r>
      <w:r>
        <w:rPr>
          <w:rFonts w:hint="eastAsia" w:asciiTheme="minorHAnsi" w:hAnsiTheme="minorHAnsi" w:eastAsiaTheme="majorEastAsia" w:cstheme="minorHAnsi"/>
          <w:b/>
          <w:kern w:val="0"/>
          <w:sz w:val="32"/>
          <w:szCs w:val="21"/>
        </w:rPr>
        <w:t>访学项目</w:t>
      </w:r>
    </w:p>
    <w:p w14:paraId="255F35A6">
      <w:pPr>
        <w:widowControl/>
        <w:spacing w:line="360" w:lineRule="auto"/>
        <w:jc w:val="center"/>
        <w:rPr>
          <w:rFonts w:hint="eastAsia" w:asciiTheme="minorHAnsi" w:hAnsiTheme="minorHAnsi" w:eastAsiaTheme="majorEastAsia" w:cstheme="minorHAnsi"/>
          <w:b w:val="0"/>
          <w:bCs/>
          <w:kern w:val="0"/>
          <w:sz w:val="20"/>
          <w:szCs w:val="13"/>
          <w:lang w:val="en-US" w:eastAsia="zh-CN"/>
          <w:woUserID w:val="1"/>
        </w:rPr>
      </w:pPr>
      <w:r>
        <w:rPr>
          <w:rFonts w:hint="default" w:asciiTheme="minorHAnsi" w:hAnsiTheme="minorHAnsi" w:eastAsiaTheme="majorEastAsia" w:cstheme="minorHAnsi"/>
          <w:b w:val="0"/>
          <w:bCs/>
          <w:kern w:val="0"/>
          <w:sz w:val="20"/>
          <w:szCs w:val="13"/>
          <w:lang w:val="en-US" w:eastAsia="zh-Hans"/>
          <w:woUserID w:val="1"/>
        </w:rPr>
        <w:t>2025年</w:t>
      </w:r>
      <w:r>
        <w:rPr>
          <w:rFonts w:hint="eastAsia" w:asciiTheme="minorHAnsi" w:hAnsiTheme="minorHAnsi" w:eastAsiaTheme="majorEastAsia" w:cstheme="minorHAnsi"/>
          <w:b w:val="0"/>
          <w:bCs/>
          <w:kern w:val="0"/>
          <w:sz w:val="20"/>
          <w:szCs w:val="13"/>
          <w:lang w:val="en-US" w:eastAsia="zh-CN"/>
          <w:woUserID w:val="1"/>
        </w:rPr>
        <w:t>7</w:t>
      </w:r>
      <w:r>
        <w:rPr>
          <w:rFonts w:hint="default" w:asciiTheme="minorHAnsi" w:hAnsiTheme="minorHAnsi" w:eastAsiaTheme="majorEastAsia" w:cstheme="minorHAnsi"/>
          <w:b w:val="0"/>
          <w:bCs/>
          <w:kern w:val="0"/>
          <w:sz w:val="20"/>
          <w:szCs w:val="13"/>
          <w:lang w:val="en-US" w:eastAsia="zh-Hans"/>
          <w:woUserID w:val="1"/>
        </w:rPr>
        <w:t>月</w:t>
      </w:r>
      <w:r>
        <w:rPr>
          <w:rFonts w:hint="eastAsia" w:asciiTheme="minorHAnsi" w:hAnsiTheme="minorHAnsi" w:eastAsiaTheme="majorEastAsia" w:cstheme="minorHAnsi"/>
          <w:b w:val="0"/>
          <w:bCs/>
          <w:kern w:val="0"/>
          <w:sz w:val="20"/>
          <w:szCs w:val="13"/>
          <w:lang w:val="en-US" w:eastAsia="zh-CN"/>
          <w:woUserID w:val="1"/>
        </w:rPr>
        <w:t>6</w:t>
      </w:r>
      <w:r>
        <w:rPr>
          <w:rFonts w:hint="default" w:asciiTheme="minorHAnsi" w:hAnsiTheme="minorHAnsi" w:eastAsiaTheme="majorEastAsia" w:cstheme="minorHAnsi"/>
          <w:b w:val="0"/>
          <w:bCs/>
          <w:kern w:val="0"/>
          <w:sz w:val="20"/>
          <w:szCs w:val="13"/>
          <w:lang w:val="en-US" w:eastAsia="zh-Hans"/>
          <w:woUserID w:val="1"/>
        </w:rPr>
        <w:t>日-7月</w:t>
      </w:r>
      <w:r>
        <w:rPr>
          <w:rFonts w:hint="eastAsia" w:asciiTheme="minorHAnsi" w:hAnsiTheme="minorHAnsi" w:eastAsiaTheme="majorEastAsia" w:cstheme="minorHAnsi"/>
          <w:b w:val="0"/>
          <w:bCs/>
          <w:kern w:val="0"/>
          <w:sz w:val="20"/>
          <w:szCs w:val="13"/>
          <w:lang w:val="en-US" w:eastAsia="zh-CN"/>
          <w:woUserID w:val="1"/>
        </w:rPr>
        <w:t>31</w:t>
      </w:r>
      <w:r>
        <w:rPr>
          <w:rFonts w:hint="default" w:asciiTheme="minorHAnsi" w:hAnsiTheme="minorHAnsi" w:eastAsiaTheme="majorEastAsia" w:cstheme="minorHAnsi"/>
          <w:b w:val="0"/>
          <w:bCs/>
          <w:kern w:val="0"/>
          <w:sz w:val="20"/>
          <w:szCs w:val="13"/>
          <w:lang w:val="en-US" w:eastAsia="zh-Hans"/>
          <w:woUserID w:val="1"/>
        </w:rPr>
        <w:t>日</w:t>
      </w:r>
      <w:r>
        <w:rPr>
          <w:rFonts w:hint="eastAsia" w:asciiTheme="minorHAnsi" w:hAnsiTheme="minorHAnsi" w:eastAsiaTheme="majorEastAsia" w:cstheme="minorHAnsi"/>
          <w:b w:val="0"/>
          <w:bCs/>
          <w:kern w:val="0"/>
          <w:sz w:val="20"/>
          <w:szCs w:val="13"/>
          <w:lang w:val="en-US" w:eastAsia="zh-CN"/>
          <w:woUserID w:val="1"/>
        </w:rPr>
        <w:t>（四周）</w:t>
      </w:r>
    </w:p>
    <w:p w14:paraId="09992AC2">
      <w:pPr>
        <w:widowControl/>
        <w:spacing w:line="360" w:lineRule="auto"/>
        <w:jc w:val="center"/>
        <w:rPr>
          <w:rFonts w:hint="default" w:asciiTheme="minorHAnsi" w:hAnsiTheme="minorHAnsi" w:eastAsiaTheme="majorEastAsia" w:cstheme="minorHAnsi"/>
          <w:b w:val="0"/>
          <w:bCs/>
          <w:kern w:val="0"/>
          <w:sz w:val="20"/>
          <w:szCs w:val="13"/>
          <w:lang w:val="en-US" w:eastAsia="zh-Hans"/>
          <w:woUserID w:val="1"/>
        </w:rPr>
      </w:pPr>
    </w:p>
    <w:p w14:paraId="433E0EEC">
      <w:pPr>
        <w:pStyle w:val="19"/>
        <w:widowControl/>
        <w:numPr>
          <w:ilvl w:val="0"/>
          <w:numId w:val="0"/>
        </w:numPr>
        <w:spacing w:line="360" w:lineRule="auto"/>
        <w:ind w:leftChars="0"/>
        <w:jc w:val="left"/>
        <w:rPr>
          <w:rFonts w:asciiTheme="minorHAnsi" w:hAnsiTheme="minorHAnsi" w:eastAsiaTheme="majorEastAsia" w:cstheme="minorHAnsi"/>
          <w:b/>
          <w:kern w:val="0"/>
          <w:szCs w:val="21"/>
        </w:rPr>
      </w:pPr>
      <w:r>
        <w:rPr>
          <w:rFonts w:hint="eastAsia" w:asciiTheme="minorHAnsi" w:hAnsiTheme="minorHAnsi" w:eastAsiaTheme="majorEastAsia" w:cstheme="minorHAnsi"/>
          <w:b/>
          <w:szCs w:val="21"/>
          <w:lang w:val="en-US" w:eastAsia="zh-CN"/>
        </w:rPr>
        <w:t>一、</w:t>
      </w:r>
      <w:r>
        <w:rPr>
          <w:rFonts w:hint="eastAsia" w:asciiTheme="minorHAnsi" w:hAnsiTheme="minorHAnsi" w:eastAsiaTheme="majorEastAsia" w:cstheme="minorHAnsi"/>
          <w:b/>
          <w:kern w:val="0"/>
          <w:szCs w:val="21"/>
        </w:rPr>
        <w:t>项目综述</w:t>
      </w:r>
    </w:p>
    <w:p w14:paraId="46D8DD33">
      <w:pPr>
        <w:widowControl/>
        <w:spacing w:line="360" w:lineRule="auto"/>
        <w:ind w:firstLine="630" w:firstLineChars="300"/>
        <w:jc w:val="left"/>
        <w:rPr>
          <w:rFonts w:hint="eastAsia" w:asciiTheme="minorHAnsi" w:hAnsiTheme="minorHAnsi" w:eastAsiaTheme="majorEastAsia" w:cstheme="minorHAnsi"/>
          <w:kern w:val="0"/>
          <w:szCs w:val="21"/>
          <w:lang w:eastAsia="zh-CN"/>
        </w:rPr>
      </w:pPr>
      <w:r>
        <w:rPr>
          <w:rFonts w:hint="eastAsia" w:asciiTheme="minorHAnsi" w:hAnsiTheme="minorHAnsi" w:eastAsiaTheme="majorEastAsia" w:cstheme="minorHAnsi"/>
          <w:kern w:val="0"/>
          <w:szCs w:val="21"/>
          <w:lang w:eastAsia="zh-CN"/>
        </w:rPr>
        <w:t>伦敦政治经济学院（LSE）成立于1895 年，是世界顶尖的社会科学大学，与牛津、剑桥、帝国理工、UCL 并称英国 “G5 超级精英大学”。学校位于伦敦市中心，紧邻政府机构和国际组织，为学生提供得天独厚的学术与职业资源。</w:t>
      </w:r>
    </w:p>
    <w:p w14:paraId="4C23D2DC">
      <w:pPr>
        <w:widowControl/>
        <w:spacing w:line="360" w:lineRule="auto"/>
        <w:ind w:firstLine="630" w:firstLineChars="300"/>
        <w:jc w:val="left"/>
        <w:rPr>
          <w:rFonts w:hint="default" w:asciiTheme="minorHAnsi" w:hAnsiTheme="minorHAnsi" w:eastAsiaTheme="majorEastAsia" w:cstheme="minorHAnsi"/>
          <w:kern w:val="0"/>
          <w:szCs w:val="21"/>
          <w:lang w:val="en-US"/>
        </w:rPr>
      </w:pPr>
      <w:r>
        <w:rPr>
          <w:rFonts w:hint="eastAsia" w:asciiTheme="minorHAnsi" w:hAnsiTheme="minorHAnsi" w:eastAsiaTheme="majorEastAsia" w:cstheme="minorHAnsi"/>
          <w:kern w:val="0"/>
          <w:szCs w:val="21"/>
          <w:lang w:eastAsia="zh-CN"/>
        </w:rPr>
        <w:t>LSE以经济学、政治学、社会科学、法律、国际关系等领域闻名，是全球最具影响力的社会科学学府之一。学校拥有超过150个国家的学生与学者，是世界上国际化程度最高的大学之一。</w:t>
      </w:r>
      <w:r>
        <w:rPr>
          <w:rFonts w:hint="eastAsia" w:asciiTheme="minorHAnsi" w:hAnsiTheme="minorHAnsi" w:eastAsiaTheme="majorEastAsia" w:cstheme="minorHAnsi"/>
          <w:kern w:val="0"/>
          <w:szCs w:val="21"/>
          <w:lang w:val="en-US" w:eastAsia="zh-CN"/>
        </w:rPr>
        <w:t>2026年</w:t>
      </w:r>
      <w:r>
        <w:rPr>
          <w:rFonts w:hint="default" w:asciiTheme="minorHAnsi" w:hAnsiTheme="minorHAnsi" w:eastAsiaTheme="majorEastAsia" w:cstheme="minorHAnsi"/>
          <w:kern w:val="0"/>
          <w:szCs w:val="21"/>
          <w:lang w:val="en-US" w:eastAsia="zh-CN"/>
        </w:rPr>
        <w:t>QS</w:t>
      </w:r>
      <w:r>
        <w:rPr>
          <w:rFonts w:hint="eastAsia" w:asciiTheme="minorHAnsi" w:hAnsiTheme="minorHAnsi" w:eastAsiaTheme="majorEastAsia" w:cstheme="minorHAnsi"/>
          <w:kern w:val="0"/>
          <w:szCs w:val="21"/>
          <w:lang w:val="en-US" w:eastAsia="zh-CN"/>
        </w:rPr>
        <w:t>世界大学排名第56位，泰晤士高等教育世界大学排名第52位。</w:t>
      </w:r>
    </w:p>
    <w:p w14:paraId="618889E7">
      <w:pPr>
        <w:keepNext w:val="0"/>
        <w:keepLines w:val="0"/>
        <w:widowControl/>
        <w:suppressLineNumbers w:val="0"/>
        <w:jc w:val="left"/>
      </w:pPr>
      <w:r>
        <w:rPr>
          <w:rFonts w:ascii="宋体" w:hAnsi="宋体" w:eastAsia="宋体" w:cs="宋体"/>
          <w:kern w:val="0"/>
          <w:sz w:val="24"/>
          <w:szCs w:val="24"/>
          <w:lang w:val="en-US" w:eastAsia="zh-CN" w:bidi="ar"/>
        </w:rPr>
        <w:drawing>
          <wp:inline distT="0" distB="0" distL="114300" distR="114300">
            <wp:extent cx="5266690" cy="2633345"/>
            <wp:effectExtent l="0" t="0" r="16510" b="8255"/>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5"/>
                    <a:stretch>
                      <a:fillRect/>
                    </a:stretch>
                  </pic:blipFill>
                  <pic:spPr>
                    <a:xfrm>
                      <a:off x="0" y="0"/>
                      <a:ext cx="5266690" cy="2633345"/>
                    </a:xfrm>
                    <a:prstGeom prst="rect">
                      <a:avLst/>
                    </a:prstGeom>
                    <a:noFill/>
                    <a:ln w="9525">
                      <a:noFill/>
                    </a:ln>
                  </pic:spPr>
                </pic:pic>
              </a:graphicData>
            </a:graphic>
          </wp:inline>
        </w:drawing>
      </w:r>
    </w:p>
    <w:p w14:paraId="43955091">
      <w:pPr>
        <w:widowControl/>
        <w:spacing w:line="360" w:lineRule="auto"/>
        <w:jc w:val="left"/>
        <w:rPr>
          <w:rFonts w:hint="eastAsia" w:asciiTheme="minorHAnsi" w:hAnsiTheme="minorHAnsi" w:eastAsiaTheme="majorEastAsia" w:cstheme="minorHAnsi"/>
          <w:b/>
          <w:bCs/>
          <w:kern w:val="0"/>
          <w:szCs w:val="21"/>
        </w:rPr>
      </w:pPr>
    </w:p>
    <w:p w14:paraId="7397C9AD">
      <w:pPr>
        <w:widowControl/>
        <w:spacing w:line="360" w:lineRule="auto"/>
        <w:jc w:val="left"/>
        <w:rPr>
          <w:rFonts w:asciiTheme="minorHAnsi" w:hAnsiTheme="minorHAnsi" w:eastAsiaTheme="majorEastAsia" w:cstheme="minorHAnsi"/>
          <w:b/>
          <w:bCs/>
          <w:kern w:val="0"/>
          <w:szCs w:val="21"/>
        </w:rPr>
      </w:pPr>
      <w:r>
        <w:rPr>
          <w:rFonts w:hint="eastAsia" w:asciiTheme="minorHAnsi" w:hAnsiTheme="minorHAnsi" w:eastAsiaTheme="majorEastAsia" w:cstheme="minorHAnsi"/>
          <w:b/>
          <w:bCs/>
          <w:kern w:val="0"/>
          <w:szCs w:val="21"/>
        </w:rPr>
        <w:t>二、项目特色优势</w:t>
      </w:r>
    </w:p>
    <w:p w14:paraId="135008DF">
      <w:pPr>
        <w:pStyle w:val="21"/>
        <w:widowControl/>
        <w:numPr>
          <w:ilvl w:val="0"/>
          <w:numId w:val="1"/>
        </w:numPr>
        <w:spacing w:line="360" w:lineRule="auto"/>
        <w:ind w:firstLineChars="0"/>
        <w:rPr>
          <w:rFonts w:asciiTheme="minorHAnsi" w:hAnsiTheme="minorHAnsi" w:eastAsiaTheme="majorEastAsia" w:cstheme="minorHAnsi"/>
          <w:b/>
          <w:bCs/>
          <w:kern w:val="0"/>
          <w:szCs w:val="21"/>
        </w:rPr>
      </w:pPr>
      <w:r>
        <w:rPr>
          <w:rFonts w:hint="eastAsia" w:asciiTheme="minorHAnsi" w:hAnsiTheme="minorHAnsi" w:eastAsiaTheme="majorEastAsia" w:cstheme="minorHAnsi"/>
          <w:b/>
          <w:bCs/>
          <w:kern w:val="0"/>
          <w:szCs w:val="21"/>
        </w:rPr>
        <w:t>【顶级名校教育资源】</w:t>
      </w:r>
      <w:r>
        <w:rPr>
          <w:rFonts w:hint="eastAsia" w:asciiTheme="minorHAnsi" w:hAnsiTheme="minorHAnsi" w:eastAsiaTheme="majorEastAsia" w:cstheme="minorHAnsi"/>
          <w:kern w:val="0"/>
          <w:szCs w:val="21"/>
        </w:rPr>
        <w:t>由全球一流大学的导师亲自授课，为国际学生提供优质的专业课程，享受国际一流大学的学术氛围与硬件设施；</w:t>
      </w:r>
    </w:p>
    <w:p w14:paraId="260645AB">
      <w:pPr>
        <w:pStyle w:val="21"/>
        <w:widowControl/>
        <w:numPr>
          <w:ilvl w:val="0"/>
          <w:numId w:val="1"/>
        </w:numPr>
        <w:spacing w:line="360" w:lineRule="auto"/>
        <w:ind w:firstLineChars="0"/>
        <w:rPr>
          <w:rFonts w:hint="eastAsia" w:asciiTheme="minorHAnsi" w:hAnsiTheme="minorHAnsi" w:eastAsiaTheme="majorEastAsia" w:cstheme="minorHAnsi"/>
          <w:kern w:val="0"/>
          <w:szCs w:val="21"/>
        </w:rPr>
      </w:pPr>
      <w:r>
        <w:rPr>
          <w:rFonts w:hint="eastAsia" w:asciiTheme="minorHAnsi" w:hAnsiTheme="minorHAnsi" w:eastAsiaTheme="majorEastAsia" w:cstheme="minorHAnsi"/>
          <w:b/>
          <w:bCs/>
          <w:kern w:val="0"/>
          <w:szCs w:val="21"/>
        </w:rPr>
        <w:t>【体验多元文化，结交国际好友】</w:t>
      </w:r>
      <w:r>
        <w:rPr>
          <w:rFonts w:hint="eastAsia" w:asciiTheme="minorHAnsi" w:hAnsiTheme="minorHAnsi" w:eastAsiaTheme="majorEastAsia" w:cstheme="minorHAnsi"/>
          <w:bCs/>
          <w:kern w:val="0"/>
          <w:szCs w:val="21"/>
        </w:rPr>
        <w:t>与来自世界</w:t>
      </w:r>
      <w:r>
        <w:rPr>
          <w:rFonts w:hint="eastAsia" w:asciiTheme="minorHAnsi" w:hAnsiTheme="minorHAnsi" w:eastAsiaTheme="majorEastAsia" w:cstheme="minorHAnsi"/>
          <w:bCs/>
          <w:kern w:val="0"/>
          <w:szCs w:val="21"/>
          <w:lang w:val="en-US" w:eastAsia="zh-CN"/>
        </w:rPr>
        <w:t>150多个国家的</w:t>
      </w:r>
      <w:r>
        <w:rPr>
          <w:rFonts w:hint="eastAsia" w:asciiTheme="minorHAnsi" w:hAnsiTheme="minorHAnsi" w:eastAsiaTheme="majorEastAsia" w:cstheme="minorHAnsi"/>
          <w:bCs/>
          <w:kern w:val="0"/>
          <w:szCs w:val="21"/>
        </w:rPr>
        <w:t>学生共同学习、提高跨文化沟通技能，收获知识与友谊；</w:t>
      </w:r>
    </w:p>
    <w:p w14:paraId="4F09A411">
      <w:pPr>
        <w:pStyle w:val="21"/>
        <w:widowControl/>
        <w:numPr>
          <w:ilvl w:val="0"/>
          <w:numId w:val="1"/>
        </w:numPr>
        <w:spacing w:line="360" w:lineRule="auto"/>
        <w:ind w:firstLineChars="0"/>
        <w:rPr>
          <w:rFonts w:hint="eastAsia" w:asciiTheme="minorHAnsi" w:hAnsiTheme="minorHAnsi" w:eastAsiaTheme="majorEastAsia" w:cstheme="minorHAnsi"/>
          <w:kern w:val="0"/>
          <w:szCs w:val="21"/>
        </w:rPr>
      </w:pPr>
      <w:r>
        <w:rPr>
          <w:rFonts w:hint="eastAsia" w:asciiTheme="minorHAnsi" w:hAnsiTheme="minorHAnsi" w:eastAsiaTheme="majorEastAsia" w:cstheme="minorHAnsi"/>
          <w:b/>
          <w:bCs/>
          <w:kern w:val="0"/>
          <w:szCs w:val="21"/>
        </w:rPr>
        <w:t>【名校成绩单】</w:t>
      </w:r>
      <w:r>
        <w:rPr>
          <w:rFonts w:hint="eastAsia" w:asciiTheme="minorHAnsi" w:hAnsiTheme="minorHAnsi" w:eastAsiaTheme="majorEastAsia" w:cstheme="minorHAnsi"/>
          <w:kern w:val="0"/>
          <w:szCs w:val="21"/>
        </w:rPr>
        <w:t>顺利完成学业后可获得</w:t>
      </w:r>
      <w:r>
        <w:rPr>
          <w:rFonts w:hint="eastAsia" w:asciiTheme="minorHAnsi" w:hAnsiTheme="minorHAnsi" w:eastAsiaTheme="majorEastAsia" w:cstheme="minorHAnsi"/>
          <w:kern w:val="0"/>
          <w:szCs w:val="21"/>
          <w:lang w:val="en-US" w:eastAsia="zh-CN"/>
        </w:rPr>
        <w:t>伦敦政治经济学院</w:t>
      </w:r>
      <w:r>
        <w:rPr>
          <w:rFonts w:hint="eastAsia" w:asciiTheme="minorHAnsi" w:hAnsiTheme="minorHAnsi" w:eastAsiaTheme="majorEastAsia" w:cstheme="minorHAnsi"/>
          <w:kern w:val="0"/>
          <w:szCs w:val="21"/>
        </w:rPr>
        <w:t>开具的成绩单，为个人简历添砖加瓦。</w:t>
      </w:r>
    </w:p>
    <w:p w14:paraId="675A9055">
      <w:pPr>
        <w:pStyle w:val="19"/>
        <w:widowControl/>
        <w:spacing w:line="360" w:lineRule="auto"/>
        <w:ind w:left="840" w:firstLine="0" w:firstLineChars="0"/>
        <w:jc w:val="left"/>
        <w:rPr>
          <w:rFonts w:hint="eastAsia" w:asciiTheme="minorHAnsi" w:hAnsiTheme="minorHAnsi" w:eastAsiaTheme="majorEastAsia" w:cstheme="minorHAnsi"/>
          <w:kern w:val="0"/>
          <w:szCs w:val="21"/>
        </w:rPr>
      </w:pPr>
    </w:p>
    <w:p w14:paraId="508CFAFC">
      <w:pPr>
        <w:widowControl/>
        <w:spacing w:line="360" w:lineRule="auto"/>
        <w:jc w:val="left"/>
        <w:rPr>
          <w:rFonts w:asciiTheme="minorHAnsi" w:hAnsiTheme="minorHAnsi" w:eastAsiaTheme="majorEastAsia" w:cstheme="minorHAnsi"/>
          <w:b/>
          <w:bCs/>
          <w:kern w:val="0"/>
          <w:szCs w:val="21"/>
        </w:rPr>
      </w:pPr>
      <w:r>
        <w:rPr>
          <w:rFonts w:hint="eastAsia" w:asciiTheme="minorHAnsi" w:hAnsiTheme="minorHAnsi" w:eastAsiaTheme="majorEastAsia" w:cstheme="minorHAnsi"/>
          <w:b/>
          <w:bCs/>
          <w:kern w:val="0"/>
          <w:szCs w:val="21"/>
        </w:rPr>
        <w:t>三、</w:t>
      </w:r>
      <w:r>
        <w:rPr>
          <w:rFonts w:hint="eastAsia" w:asciiTheme="minorHAnsi" w:hAnsiTheme="minorHAnsi" w:eastAsiaTheme="majorEastAsia" w:cstheme="minorHAnsi"/>
          <w:b/>
          <w:bCs/>
          <w:kern w:val="0"/>
          <w:szCs w:val="21"/>
          <w:lang w:val="en-US" w:eastAsia="zh-CN"/>
        </w:rPr>
        <w:t>伦敦政治经济学院</w:t>
      </w:r>
      <w:r>
        <w:rPr>
          <w:rFonts w:hint="eastAsia" w:asciiTheme="minorHAnsi" w:hAnsiTheme="minorHAnsi" w:eastAsiaTheme="majorEastAsia" w:cstheme="minorHAnsi"/>
          <w:b/>
          <w:bCs/>
          <w:kern w:val="0"/>
          <w:szCs w:val="21"/>
        </w:rPr>
        <w:t>简介</w:t>
      </w:r>
    </w:p>
    <w:p w14:paraId="02AE0AFD">
      <w:pPr>
        <w:pStyle w:val="19"/>
        <w:numPr>
          <w:ilvl w:val="0"/>
          <w:numId w:val="2"/>
        </w:numPr>
        <w:spacing w:line="360" w:lineRule="auto"/>
        <w:ind w:firstLineChars="0"/>
        <w:rPr>
          <w:rFonts w:hint="eastAsia" w:asciiTheme="minorHAnsi" w:hAnsiTheme="minorHAnsi" w:eastAsiaTheme="majorEastAsia" w:cstheme="minorHAnsi"/>
          <w:kern w:val="0"/>
          <w:szCs w:val="21"/>
        </w:rPr>
      </w:pPr>
      <w:r>
        <w:rPr>
          <w:rFonts w:hint="eastAsia" w:asciiTheme="minorHAnsi" w:hAnsiTheme="minorHAnsi" w:eastAsiaTheme="majorEastAsia" w:cstheme="minorHAnsi"/>
          <w:kern w:val="0"/>
          <w:szCs w:val="21"/>
        </w:rPr>
        <w:t>伦敦政治经济学院（LSE）成立于1895 年，是世界顶尖的社会科学大学，与牛津、剑桥、帝国理工、UCL 并称英国 “G5 超级精英大学”。学校位于伦敦市中心，紧邻政府机构和国际组织，为学生提供得天独厚的学术与职业资源。</w:t>
      </w:r>
    </w:p>
    <w:p w14:paraId="1B7EBB76">
      <w:pPr>
        <w:pStyle w:val="19"/>
        <w:numPr>
          <w:ilvl w:val="0"/>
          <w:numId w:val="2"/>
        </w:numPr>
        <w:spacing w:line="360" w:lineRule="auto"/>
        <w:ind w:firstLineChars="0"/>
        <w:rPr>
          <w:rFonts w:asciiTheme="minorHAnsi" w:hAnsiTheme="minorHAnsi" w:eastAsiaTheme="majorEastAsia" w:cstheme="minorHAnsi"/>
          <w:kern w:val="0"/>
          <w:szCs w:val="21"/>
        </w:rPr>
      </w:pPr>
      <w:r>
        <w:rPr>
          <w:rFonts w:hint="eastAsia" w:asciiTheme="minorHAnsi" w:hAnsiTheme="minorHAnsi" w:eastAsiaTheme="majorEastAsia" w:cstheme="minorHAnsi"/>
          <w:kern w:val="0"/>
          <w:szCs w:val="21"/>
        </w:rPr>
        <w:t>2026年QS世界大学排名第56位，泰晤士高等教育世界大学排名第52位。</w:t>
      </w:r>
    </w:p>
    <w:p w14:paraId="5995D3A0">
      <w:pPr>
        <w:pStyle w:val="19"/>
        <w:numPr>
          <w:ilvl w:val="0"/>
          <w:numId w:val="2"/>
        </w:numPr>
        <w:spacing w:line="360" w:lineRule="auto"/>
        <w:ind w:firstLineChars="0"/>
        <w:rPr>
          <w:rFonts w:asciiTheme="minorHAnsi" w:hAnsiTheme="minorHAnsi" w:eastAsiaTheme="majorEastAsia" w:cstheme="minorHAnsi"/>
          <w:kern w:val="0"/>
          <w:szCs w:val="21"/>
        </w:rPr>
      </w:pPr>
      <w:r>
        <w:rPr>
          <w:rFonts w:hint="eastAsia" w:asciiTheme="minorHAnsi" w:hAnsiTheme="minorHAnsi" w:eastAsiaTheme="majorEastAsia" w:cstheme="minorHAnsi"/>
          <w:szCs w:val="21"/>
          <w:lang w:val="en-US" w:eastAsia="zh-CN"/>
        </w:rPr>
        <w:t>根据</w:t>
      </w:r>
      <w:r>
        <w:rPr>
          <w:rFonts w:hint="eastAsia" w:asciiTheme="minorHAnsi" w:hAnsiTheme="minorHAnsi" w:eastAsiaTheme="majorEastAsia" w:cstheme="minorHAnsi"/>
          <w:szCs w:val="21"/>
        </w:rPr>
        <w:t>QS 2025</w:t>
      </w:r>
      <w:r>
        <w:rPr>
          <w:rFonts w:hint="eastAsia" w:asciiTheme="minorHAnsi" w:hAnsiTheme="minorHAnsi" w:eastAsiaTheme="majorEastAsia" w:cstheme="minorHAnsi"/>
          <w:szCs w:val="21"/>
          <w:lang w:val="en-US" w:eastAsia="zh-CN"/>
        </w:rPr>
        <w:t>世界大学学科排名</w:t>
      </w:r>
      <w:r>
        <w:rPr>
          <w:rFonts w:hint="eastAsia" w:asciiTheme="minorHAnsi" w:hAnsiTheme="minorHAnsi" w:eastAsiaTheme="majorEastAsia" w:cstheme="minorHAnsi"/>
          <w:szCs w:val="21"/>
        </w:rPr>
        <w:t>LSE 在多个学科位列全球Top 10：社会科学与管理：全球第6</w:t>
      </w:r>
      <w:r>
        <w:rPr>
          <w:rFonts w:hint="eastAsia" w:asciiTheme="minorHAnsi" w:hAnsiTheme="minorHAnsi" w:eastAsiaTheme="majorEastAsia" w:cstheme="minorHAnsi"/>
          <w:szCs w:val="21"/>
          <w:lang w:eastAsia="zh-CN"/>
        </w:rPr>
        <w:t>；</w:t>
      </w:r>
      <w:r>
        <w:rPr>
          <w:rFonts w:hint="eastAsia" w:asciiTheme="minorHAnsi" w:hAnsiTheme="minorHAnsi" w:eastAsiaTheme="majorEastAsia" w:cstheme="minorHAnsi"/>
          <w:szCs w:val="21"/>
        </w:rPr>
        <w:t>政治学/国际关系：全球前5</w:t>
      </w:r>
      <w:r>
        <w:rPr>
          <w:rFonts w:hint="eastAsia" w:asciiTheme="minorHAnsi" w:hAnsiTheme="minorHAnsi" w:eastAsiaTheme="majorEastAsia" w:cstheme="minorHAnsi"/>
          <w:szCs w:val="21"/>
          <w:lang w:eastAsia="zh-CN"/>
        </w:rPr>
        <w:t>；</w:t>
      </w:r>
      <w:r>
        <w:rPr>
          <w:rFonts w:hint="eastAsia" w:asciiTheme="minorHAnsi" w:hAnsiTheme="minorHAnsi" w:eastAsiaTheme="majorEastAsia" w:cstheme="minorHAnsi"/>
          <w:szCs w:val="21"/>
        </w:rPr>
        <w:t>社会政策与管理：全球前5</w:t>
      </w:r>
      <w:r>
        <w:rPr>
          <w:rFonts w:hint="eastAsia" w:asciiTheme="minorHAnsi" w:hAnsiTheme="minorHAnsi" w:eastAsiaTheme="majorEastAsia" w:cstheme="minorHAnsi"/>
          <w:szCs w:val="21"/>
          <w:lang w:eastAsia="zh-CN"/>
        </w:rPr>
        <w:t>；</w:t>
      </w:r>
      <w:r>
        <w:rPr>
          <w:rFonts w:hint="eastAsia" w:asciiTheme="minorHAnsi" w:hAnsiTheme="minorHAnsi" w:eastAsiaTheme="majorEastAsia" w:cstheme="minorHAnsi"/>
          <w:szCs w:val="21"/>
        </w:rPr>
        <w:t>法律与法律研究：全球前 10</w:t>
      </w:r>
      <w:r>
        <w:rPr>
          <w:rFonts w:hint="eastAsia" w:asciiTheme="minorHAnsi" w:hAnsiTheme="minorHAnsi" w:eastAsiaTheme="majorEastAsia" w:cstheme="minorHAnsi"/>
          <w:szCs w:val="21"/>
          <w:lang w:eastAsia="zh-CN"/>
        </w:rPr>
        <w:t>；</w:t>
      </w:r>
      <w:r>
        <w:rPr>
          <w:rFonts w:hint="eastAsia" w:asciiTheme="minorHAnsi" w:hAnsiTheme="minorHAnsi" w:eastAsiaTheme="majorEastAsia" w:cstheme="minorHAnsi"/>
          <w:szCs w:val="21"/>
        </w:rPr>
        <w:t>经济学与计量经济学：全球前10</w:t>
      </w:r>
      <w:r>
        <w:rPr>
          <w:rFonts w:hint="eastAsia" w:asciiTheme="minorHAnsi" w:hAnsiTheme="minorHAnsi" w:eastAsiaTheme="majorEastAsia" w:cstheme="minorHAnsi"/>
          <w:szCs w:val="21"/>
          <w:lang w:eastAsia="zh-CN"/>
        </w:rPr>
        <w:t>；</w:t>
      </w:r>
      <w:r>
        <w:rPr>
          <w:rFonts w:hint="eastAsia" w:asciiTheme="minorHAnsi" w:hAnsiTheme="minorHAnsi" w:eastAsiaTheme="majorEastAsia" w:cstheme="minorHAnsi"/>
          <w:szCs w:val="21"/>
        </w:rPr>
        <w:t>地理、社会学、人类学：均位列全球前列</w:t>
      </w:r>
      <w:r>
        <w:rPr>
          <w:rFonts w:hint="eastAsia" w:asciiTheme="minorHAnsi" w:hAnsiTheme="minorHAnsi" w:eastAsiaTheme="majorEastAsia" w:cstheme="minorHAnsi"/>
          <w:szCs w:val="21"/>
          <w:lang w:eastAsia="zh-CN"/>
        </w:rPr>
        <w:t>。</w:t>
      </w:r>
    </w:p>
    <w:p w14:paraId="060D31DA">
      <w:pPr>
        <w:pStyle w:val="19"/>
        <w:numPr>
          <w:ilvl w:val="0"/>
          <w:numId w:val="2"/>
        </w:numPr>
        <w:spacing w:line="360" w:lineRule="auto"/>
        <w:ind w:firstLineChars="0"/>
        <w:rPr>
          <w:rFonts w:asciiTheme="minorHAnsi" w:hAnsiTheme="minorHAnsi" w:eastAsiaTheme="majorEastAsia" w:cstheme="minorHAnsi"/>
          <w:kern w:val="0"/>
          <w:szCs w:val="21"/>
        </w:rPr>
      </w:pPr>
      <w:r>
        <w:rPr>
          <w:rFonts w:hint="eastAsia" w:asciiTheme="minorHAnsi" w:hAnsiTheme="minorHAnsi" w:eastAsiaTheme="majorEastAsia" w:cstheme="minorHAnsi"/>
          <w:kern w:val="0"/>
          <w:szCs w:val="21"/>
        </w:rPr>
        <w:t>LSE培养出世界各领域的领袖人物，包括：3</w:t>
      </w:r>
      <w:r>
        <w:rPr>
          <w:rFonts w:hint="eastAsia" w:asciiTheme="minorHAnsi" w:hAnsiTheme="minorHAnsi" w:eastAsiaTheme="majorEastAsia" w:cstheme="minorHAnsi"/>
          <w:kern w:val="0"/>
          <w:szCs w:val="21"/>
          <w:lang w:val="en-US" w:eastAsia="zh-CN"/>
        </w:rPr>
        <w:t>4</w:t>
      </w:r>
      <w:r>
        <w:rPr>
          <w:rFonts w:hint="eastAsia" w:asciiTheme="minorHAnsi" w:hAnsiTheme="minorHAnsi" w:eastAsiaTheme="majorEastAsia" w:cstheme="minorHAnsi"/>
          <w:kern w:val="0"/>
          <w:szCs w:val="21"/>
        </w:rPr>
        <w:t>位国家元首与政府首脑</w:t>
      </w:r>
      <w:r>
        <w:rPr>
          <w:rFonts w:hint="eastAsia" w:asciiTheme="minorHAnsi" w:hAnsiTheme="minorHAnsi" w:eastAsiaTheme="majorEastAsia" w:cstheme="minorHAnsi"/>
          <w:kern w:val="0"/>
          <w:szCs w:val="21"/>
          <w:lang w:eastAsia="zh-CN"/>
        </w:rPr>
        <w:t>、</w:t>
      </w:r>
      <w:r>
        <w:rPr>
          <w:rFonts w:hint="eastAsia" w:asciiTheme="minorHAnsi" w:hAnsiTheme="minorHAnsi" w:eastAsiaTheme="majorEastAsia" w:cstheme="minorHAnsi"/>
          <w:kern w:val="0"/>
          <w:szCs w:val="21"/>
        </w:rPr>
        <w:t>18位诺贝尔奖获得者</w:t>
      </w:r>
      <w:r>
        <w:rPr>
          <w:rFonts w:hint="eastAsia" w:asciiTheme="minorHAnsi" w:hAnsiTheme="minorHAnsi" w:eastAsiaTheme="majorEastAsia" w:cstheme="minorHAnsi"/>
          <w:kern w:val="0"/>
          <w:szCs w:val="21"/>
          <w:lang w:eastAsia="zh-CN"/>
        </w:rPr>
        <w:t>，</w:t>
      </w:r>
      <w:r>
        <w:rPr>
          <w:rFonts w:hint="eastAsia" w:asciiTheme="minorHAnsi" w:hAnsiTheme="minorHAnsi" w:eastAsiaTheme="majorEastAsia" w:cstheme="minorHAnsi"/>
          <w:kern w:val="0"/>
          <w:szCs w:val="21"/>
        </w:rPr>
        <w:t>被誉为“世界政策制定者的摇篮”。</w:t>
      </w:r>
    </w:p>
    <w:p w14:paraId="2CDC3BE7">
      <w:pPr>
        <w:pStyle w:val="19"/>
        <w:numPr>
          <w:ilvl w:val="0"/>
          <w:numId w:val="0"/>
        </w:numPr>
        <w:spacing w:line="360" w:lineRule="auto"/>
        <w:ind w:left="420" w:leftChars="0"/>
        <w:rPr>
          <w:rFonts w:asciiTheme="minorHAnsi" w:hAnsiTheme="minorHAnsi" w:eastAsiaTheme="majorEastAsia" w:cstheme="minorHAnsi"/>
          <w:kern w:val="0"/>
          <w:szCs w:val="21"/>
        </w:rPr>
      </w:pPr>
    </w:p>
    <w:p w14:paraId="4AB63C52">
      <w:pPr>
        <w:widowControl/>
        <w:spacing w:line="360" w:lineRule="auto"/>
        <w:jc w:val="left"/>
        <w:rPr>
          <w:rFonts w:asciiTheme="minorHAnsi" w:hAnsiTheme="minorHAnsi" w:eastAsiaTheme="majorEastAsia" w:cstheme="minorHAnsi"/>
          <w:b/>
          <w:szCs w:val="21"/>
        </w:rPr>
      </w:pPr>
      <w:r>
        <w:rPr>
          <w:rFonts w:hint="eastAsia" w:asciiTheme="minorHAnsi" w:hAnsiTheme="minorHAnsi" w:eastAsiaTheme="majorEastAsia" w:cstheme="minorHAnsi"/>
          <w:b/>
          <w:szCs w:val="21"/>
        </w:rPr>
        <w:t>四、</w:t>
      </w:r>
      <w:r>
        <w:rPr>
          <w:rFonts w:asciiTheme="minorHAnsi" w:hAnsiTheme="minorHAnsi" w:eastAsiaTheme="majorEastAsia" w:cstheme="minorHAnsi"/>
          <w:b/>
          <w:szCs w:val="21"/>
        </w:rPr>
        <w:t>访学</w:t>
      </w:r>
      <w:r>
        <w:rPr>
          <w:rFonts w:hint="eastAsia" w:asciiTheme="minorHAnsi" w:hAnsiTheme="minorHAnsi" w:eastAsiaTheme="majorEastAsia" w:cstheme="minorHAnsi"/>
          <w:b/>
          <w:szCs w:val="21"/>
        </w:rPr>
        <w:t>项目介绍</w:t>
      </w:r>
    </w:p>
    <w:p w14:paraId="5BD078DA">
      <w:pPr>
        <w:widowControl/>
        <w:spacing w:line="360" w:lineRule="auto"/>
        <w:jc w:val="left"/>
        <w:rPr>
          <w:rFonts w:cs="Calibri" w:asciiTheme="minorHAnsi" w:hAnsiTheme="minorHAnsi"/>
          <w:szCs w:val="21"/>
        </w:rPr>
      </w:pPr>
      <w:r>
        <w:rPr>
          <w:rFonts w:cs="Calibri" w:asciiTheme="minorHAnsi" w:hAnsiTheme="minorHAnsi"/>
          <w:szCs w:val="21"/>
        </w:rPr>
        <w:t>【</w:t>
      </w:r>
      <w:r>
        <w:rPr>
          <w:rFonts w:hint="eastAsia" w:cs="Calibri" w:asciiTheme="minorHAnsi" w:hAnsiTheme="minorHAnsi"/>
          <w:b/>
          <w:szCs w:val="21"/>
        </w:rPr>
        <w:t>课程日期</w:t>
      </w:r>
      <w:r>
        <w:rPr>
          <w:rFonts w:cs="Calibri" w:asciiTheme="minorHAnsi" w:hAnsiTheme="minorHAnsi"/>
          <w:szCs w:val="21"/>
        </w:rPr>
        <w:t>】</w:t>
      </w:r>
    </w:p>
    <w:p w14:paraId="4696F685">
      <w:pPr>
        <w:spacing w:line="360" w:lineRule="auto"/>
        <w:rPr>
          <w:rFonts w:hint="eastAsia" w:cs="Calibri" w:asciiTheme="minorHAnsi" w:hAnsiTheme="minorHAnsi"/>
          <w:szCs w:val="21"/>
        </w:rPr>
      </w:pPr>
      <w:r>
        <w:rPr>
          <w:rFonts w:hint="eastAsia" w:cs="Calibri" w:asciiTheme="minorHAnsi" w:hAnsiTheme="minorHAnsi"/>
          <w:szCs w:val="21"/>
        </w:rPr>
        <w:t>2026年7月6日-7月31日（四周）</w:t>
      </w:r>
    </w:p>
    <w:p w14:paraId="4F34A524">
      <w:pPr>
        <w:spacing w:line="360" w:lineRule="auto"/>
        <w:rPr>
          <w:rFonts w:hint="eastAsia" w:cs="Calibri" w:asciiTheme="minorHAnsi" w:hAnsiTheme="minorHAnsi"/>
          <w:szCs w:val="21"/>
        </w:rPr>
      </w:pPr>
      <w:r>
        <w:rPr>
          <w:rFonts w:hint="eastAsia" w:cs="Calibri" w:asciiTheme="minorHAnsi" w:hAnsiTheme="minorHAnsi"/>
          <w:szCs w:val="21"/>
        </w:rPr>
        <w:t>或2026年7月27日-8月21日（四周）</w:t>
      </w:r>
    </w:p>
    <w:p w14:paraId="691077B3">
      <w:pPr>
        <w:spacing w:line="360" w:lineRule="auto"/>
        <w:rPr>
          <w:rFonts w:hint="default" w:eastAsia="宋体" w:cs="Calibri" w:asciiTheme="minorHAnsi" w:hAnsiTheme="minorHAnsi"/>
          <w:szCs w:val="21"/>
          <w:lang w:val="en-US" w:eastAsia="zh-CN"/>
        </w:rPr>
      </w:pPr>
      <w:r>
        <w:rPr>
          <w:rFonts w:cs="Calibri" w:asciiTheme="minorHAnsi" w:hAnsiTheme="minorHAnsi"/>
          <w:szCs w:val="21"/>
        </w:rPr>
        <w:t>【</w:t>
      </w:r>
      <w:r>
        <w:rPr>
          <w:rFonts w:hint="eastAsia" w:cs="Calibri" w:asciiTheme="minorHAnsi" w:hAnsiTheme="minorHAnsi"/>
          <w:b/>
          <w:szCs w:val="21"/>
        </w:rPr>
        <w:t>课程内容</w:t>
      </w:r>
      <w:r>
        <w:rPr>
          <w:rFonts w:cs="Calibri" w:asciiTheme="minorHAnsi" w:hAnsiTheme="minorHAnsi"/>
          <w:szCs w:val="21"/>
        </w:rPr>
        <w:t>】</w:t>
      </w:r>
    </w:p>
    <w:p w14:paraId="2506DDFC">
      <w:pPr>
        <w:spacing w:line="360" w:lineRule="auto"/>
        <w:ind w:firstLine="420" w:firstLineChars="0"/>
        <w:rPr>
          <w:rFonts w:hint="eastAsia" w:cs="Calibri" w:asciiTheme="minorHAnsi" w:hAnsiTheme="minorHAnsi"/>
          <w:szCs w:val="21"/>
          <w:lang w:val="en-US" w:eastAsia="zh-CN"/>
        </w:rPr>
      </w:pPr>
      <w:r>
        <w:rPr>
          <w:rFonts w:hint="eastAsia" w:cs="Calibri" w:asciiTheme="minorHAnsi" w:hAnsiTheme="minorHAnsi"/>
          <w:szCs w:val="21"/>
          <w:lang w:val="en-US" w:eastAsia="zh-Hans"/>
        </w:rPr>
        <w:t>暑期专业</w:t>
      </w:r>
      <w:r>
        <w:rPr>
          <w:rFonts w:hint="default" w:cs="Calibri" w:asciiTheme="minorHAnsi" w:hAnsiTheme="minorHAnsi"/>
          <w:szCs w:val="21"/>
          <w:lang w:eastAsia="zh-Hans"/>
          <w:woUserID w:val="2"/>
        </w:rPr>
        <w:t>学分</w:t>
      </w:r>
      <w:r>
        <w:rPr>
          <w:rFonts w:hint="eastAsia" w:cs="Calibri" w:asciiTheme="minorHAnsi" w:hAnsiTheme="minorHAnsi"/>
          <w:szCs w:val="21"/>
          <w:lang w:val="en-US" w:eastAsia="zh-Hans"/>
        </w:rPr>
        <w:t>项目</w:t>
      </w:r>
      <w:r>
        <w:rPr>
          <w:rFonts w:hint="eastAsia" w:cs="Calibri" w:asciiTheme="minorHAnsi" w:hAnsiTheme="minorHAnsi"/>
          <w:szCs w:val="21"/>
          <w:lang w:val="en-US" w:eastAsia="zh-CN"/>
        </w:rPr>
        <w:t>面向本校学生和国际学生</w:t>
      </w:r>
      <w:r>
        <w:rPr>
          <w:rFonts w:hint="eastAsia" w:cs="Calibri" w:asciiTheme="minorHAnsi" w:hAnsiTheme="minorHAnsi"/>
          <w:szCs w:val="21"/>
        </w:rPr>
        <w:t>开设，由LSE教师与资深学者授课、结合讲座与小班研讨，课程学术性强。项目吸引来自世界各地的学生，旨在在短时间内提升专业知识、学术能力与国际视野，并提供丰富的学术与文化活动以拓展人脉与实践机会。</w:t>
      </w:r>
      <w:r>
        <w:rPr>
          <w:rFonts w:hint="eastAsia" w:cs="Calibri" w:asciiTheme="minorHAnsi" w:hAnsiTheme="minorHAnsi"/>
          <w:szCs w:val="21"/>
          <w:lang w:val="en-US" w:eastAsia="zh-CN"/>
        </w:rPr>
        <w:t>课程主题涵盖会计、经济学、国际关系、商业与管理、法律、数据科学、人工智能与研究方法、金融。每门课程约等于3-4个美国学分或7.5个欧洲学分。</w:t>
      </w:r>
    </w:p>
    <w:p w14:paraId="072F5A3F">
      <w:pPr>
        <w:spacing w:line="360" w:lineRule="auto"/>
        <w:ind w:firstLine="420" w:firstLineChars="0"/>
        <w:rPr>
          <w:rFonts w:hint="default" w:cs="Calibri" w:asciiTheme="minorHAnsi" w:hAnsiTheme="minorHAnsi"/>
          <w:szCs w:val="21"/>
          <w:lang w:val="en-US" w:eastAsia="zh-CN"/>
        </w:rPr>
      </w:pPr>
    </w:p>
    <w:p w14:paraId="26633461">
      <w:pPr>
        <w:spacing w:line="360" w:lineRule="auto"/>
        <w:rPr>
          <w:rFonts w:hint="eastAsia" w:cs="Calibri" w:asciiTheme="minorHAnsi" w:hAnsiTheme="minorHAnsi"/>
          <w:b/>
          <w:bCs/>
          <w:szCs w:val="21"/>
          <w:lang w:val="en-US" w:eastAsia="zh-CN"/>
        </w:rPr>
      </w:pPr>
      <w:r>
        <w:rPr>
          <w:rFonts w:hint="eastAsia" w:cs="Calibri" w:asciiTheme="minorHAnsi" w:hAnsiTheme="minorHAnsi"/>
          <w:b/>
          <w:bCs/>
          <w:szCs w:val="21"/>
          <w:lang w:val="en-US" w:eastAsia="zh-CN"/>
        </w:rPr>
        <w:t xml:space="preserve">第一阶段：学术英语预备课程 </w:t>
      </w:r>
    </w:p>
    <w:p w14:paraId="6A30750D">
      <w:pPr>
        <w:spacing w:line="360" w:lineRule="auto"/>
        <w:rPr>
          <w:rFonts w:hint="eastAsia" w:cs="Calibri" w:asciiTheme="minorHAnsi" w:hAnsiTheme="minorHAnsi"/>
          <w:szCs w:val="21"/>
          <w:lang w:val="en-US" w:eastAsia="zh-CN"/>
        </w:rPr>
      </w:pPr>
      <w:r>
        <w:rPr>
          <w:rFonts w:hint="eastAsia" w:cs="Calibri" w:asciiTheme="minorHAnsi" w:hAnsiTheme="minorHAnsi"/>
          <w:szCs w:val="21"/>
          <w:lang w:val="en-US" w:eastAsia="zh-CN"/>
        </w:rPr>
        <w:t>2026年7月6日-7月10日或2026年7月27日-7月31日</w:t>
      </w:r>
    </w:p>
    <w:p w14:paraId="6D11BA3C">
      <w:pPr>
        <w:spacing w:line="360" w:lineRule="auto"/>
        <w:ind w:firstLine="420" w:firstLineChars="0"/>
        <w:rPr>
          <w:rFonts w:hint="eastAsia" w:cs="Calibri" w:asciiTheme="minorHAnsi" w:hAnsiTheme="minorHAnsi"/>
          <w:szCs w:val="21"/>
          <w:lang w:val="en-US" w:eastAsia="zh-CN"/>
        </w:rPr>
      </w:pPr>
      <w:r>
        <w:rPr>
          <w:rFonts w:hint="eastAsia" w:cs="Calibri" w:asciiTheme="minorHAnsi" w:hAnsiTheme="minorHAnsi"/>
          <w:szCs w:val="21"/>
          <w:lang w:val="en-US" w:eastAsia="zh-CN"/>
        </w:rPr>
        <w:t>本课程旨在帮助学生在短时间内提升英语学术能力，为随后进入正课学习做好充分准备。在这一周的密集课程中，学生将接触与社会科学相关的讲座内容，重点训练学术听力与课堂笔记技巧。课程还包括听力、讨论、阅读与写作等综合训练，特别强调学术写作风格、课堂表达、笔记方法以及小组展示能力。语法教学将融入实际学习材料中，根据学生的真实需求进行针对性提升。</w:t>
      </w:r>
    </w:p>
    <w:p w14:paraId="75807BDF">
      <w:pPr>
        <w:spacing w:line="360" w:lineRule="auto"/>
        <w:rPr>
          <w:rFonts w:hint="eastAsia" w:cs="Calibri" w:asciiTheme="minorHAnsi" w:hAnsiTheme="minorHAnsi"/>
          <w:szCs w:val="21"/>
          <w:lang w:val="en-US" w:eastAsia="zh-CN"/>
        </w:rPr>
      </w:pPr>
      <w:r>
        <w:rPr>
          <w:rFonts w:hint="eastAsia" w:cs="Calibri" w:asciiTheme="minorHAnsi" w:hAnsiTheme="minorHAnsi"/>
          <w:szCs w:val="21"/>
          <w:lang w:val="en-US" w:eastAsia="zh-CN"/>
        </w:rPr>
        <w:t>课程最后一天，学生需完成一次小组展示，以巩固并展示一周内提升的语言与学术沟通能力。为了更好地衔接夏校学习，学生将根据自己即将修读的专业科目方向被分入不同小组，教师会尽可能使用与学生后续课程相近或相关的材料。</w:t>
      </w:r>
      <w:r>
        <w:rPr>
          <w:rFonts w:hint="eastAsia" w:cs="Calibri" w:asciiTheme="minorHAnsi" w:hAnsiTheme="minorHAnsi"/>
          <w:szCs w:val="21"/>
          <w:lang w:val="en-US" w:eastAsia="zh-CN"/>
        </w:rPr>
        <w:br w:type="textWrapping"/>
      </w:r>
      <w:r>
        <w:rPr>
          <w:rFonts w:hint="eastAsia" w:cs="Calibri" w:asciiTheme="minorHAnsi" w:hAnsiTheme="minorHAnsi"/>
          <w:b/>
          <w:bCs/>
          <w:szCs w:val="21"/>
          <w:lang w:val="en-US" w:eastAsia="zh-CN"/>
        </w:rPr>
        <w:t>第二阶段：专业</w:t>
      </w:r>
      <w:r>
        <w:rPr>
          <w:rFonts w:hint="default" w:cs="Calibri" w:asciiTheme="minorHAnsi" w:hAnsiTheme="minorHAnsi"/>
          <w:b/>
          <w:bCs/>
          <w:szCs w:val="21"/>
          <w:lang w:eastAsia="zh-CN"/>
          <w:woUserID w:val="2"/>
        </w:rPr>
        <w:t>学分</w:t>
      </w:r>
      <w:r>
        <w:rPr>
          <w:rFonts w:hint="eastAsia" w:cs="Calibri" w:asciiTheme="minorHAnsi" w:hAnsiTheme="minorHAnsi"/>
          <w:b/>
          <w:bCs/>
          <w:szCs w:val="21"/>
          <w:lang w:val="en-US" w:eastAsia="zh-CN"/>
        </w:rPr>
        <w:t>课程</w:t>
      </w:r>
    </w:p>
    <w:p w14:paraId="1B1480F0">
      <w:pPr>
        <w:spacing w:line="360" w:lineRule="auto"/>
        <w:rPr>
          <w:rFonts w:hint="eastAsia" w:cs="Calibri" w:asciiTheme="minorHAnsi" w:hAnsiTheme="minorHAnsi"/>
          <w:szCs w:val="21"/>
          <w:lang w:val="en-US" w:eastAsia="zh-CN"/>
        </w:rPr>
      </w:pPr>
      <w:r>
        <w:rPr>
          <w:rFonts w:hint="eastAsia" w:cs="Calibri" w:asciiTheme="minorHAnsi" w:hAnsiTheme="minorHAnsi"/>
          <w:szCs w:val="21"/>
          <w:lang w:val="en-US" w:eastAsia="zh-CN"/>
        </w:rPr>
        <w:t>2026年7月13日-7月31日或2026年8月3日-8月21日</w:t>
      </w:r>
    </w:p>
    <w:p w14:paraId="1C1C3D31">
      <w:pPr>
        <w:spacing w:line="360" w:lineRule="auto"/>
        <w:ind w:firstLine="420" w:firstLineChars="0"/>
        <w:rPr>
          <w:rFonts w:hint="default" w:eastAsia="宋体" w:cs="Calibri" w:asciiTheme="minorHAnsi" w:hAnsiTheme="minorHAnsi"/>
          <w:szCs w:val="21"/>
          <w:lang w:val="en-US" w:eastAsia="zh-CN"/>
        </w:rPr>
      </w:pPr>
      <w:r>
        <w:rPr>
          <w:rFonts w:hint="default" w:cs="Calibri" w:asciiTheme="minorHAnsi" w:hAnsiTheme="minorHAnsi"/>
          <w:szCs w:val="21"/>
          <w:lang w:val="en-US" w:eastAsia="zh-CN"/>
        </w:rPr>
        <w:t>由伦敦政治经济学院的教师团队及资深学者亲自授课，课程内容与 LSE 本科阶段保持同等学术标准。</w:t>
      </w:r>
      <w:r>
        <w:rPr>
          <w:rFonts w:hint="eastAsia" w:cs="Calibri" w:asciiTheme="minorHAnsi" w:hAnsiTheme="minorHAnsi"/>
          <w:szCs w:val="21"/>
          <w:lang w:val="en-US" w:eastAsia="zh-CN"/>
        </w:rPr>
        <w:t>课程主题涵盖会计、经济学、国际关系、商业与管理、法律、数据科学、人工智能与研究方法、金融。每门课程约等于3-4个美国学分或7.5个欧洲学分。</w:t>
      </w:r>
    </w:p>
    <w:p w14:paraId="1CE835CB">
      <w:pPr>
        <w:spacing w:line="360" w:lineRule="auto"/>
        <w:ind w:firstLine="420" w:firstLineChars="0"/>
        <w:rPr>
          <w:rFonts w:hint="default" w:cs="Calibri" w:asciiTheme="minorHAnsi" w:hAnsiTheme="minorHAnsi"/>
          <w:szCs w:val="21"/>
          <w:lang w:val="en-US" w:eastAsia="zh-CN"/>
        </w:rPr>
      </w:pPr>
      <w:r>
        <w:rPr>
          <w:rFonts w:hint="default" w:cs="Calibri" w:asciiTheme="minorHAnsi" w:hAnsiTheme="minorHAnsi"/>
          <w:szCs w:val="21"/>
          <w:lang w:val="en-US" w:eastAsia="zh-CN"/>
        </w:rPr>
        <w:t>课堂采用“讲座 + 小班研讨”模式，三周共计约 54 小时课堂教学，包括系统性的理论讲解、案例分析、小组讨论及学术写作训练。所有课程均为国际混班教学，来自全球100多个国家的学生共同参与课堂，为学习带来高度国际化、多元化的视角。学生将在紧凑的学习节奏中与来自不同学术背景的同学合作完成讨论、展示与项目任务，有助于快速提升跨文化沟通能力与国际协作意识。</w:t>
      </w:r>
    </w:p>
    <w:p w14:paraId="54C55C13">
      <w:pPr>
        <w:spacing w:line="360" w:lineRule="auto"/>
        <w:ind w:firstLine="420" w:firstLineChars="0"/>
        <w:rPr>
          <w:rFonts w:hint="default" w:cs="Calibri" w:asciiTheme="minorHAnsi" w:hAnsiTheme="minorHAnsi"/>
          <w:szCs w:val="21"/>
          <w:lang w:val="en-US" w:eastAsia="zh-CN"/>
        </w:rPr>
      </w:pPr>
      <w:r>
        <w:rPr>
          <w:rFonts w:hint="default" w:cs="Calibri" w:asciiTheme="minorHAnsi" w:hAnsiTheme="minorHAnsi"/>
          <w:szCs w:val="21"/>
          <w:lang w:val="en-US" w:eastAsia="zh-CN"/>
        </w:rPr>
        <w:t>课程</w:t>
      </w:r>
      <w:r>
        <w:rPr>
          <w:rFonts w:hint="eastAsia" w:cs="Calibri" w:asciiTheme="minorHAnsi" w:hAnsiTheme="minorHAnsi"/>
          <w:szCs w:val="21"/>
          <w:lang w:val="en-US" w:eastAsia="zh-CN"/>
        </w:rPr>
        <w:t>包括由</w:t>
      </w:r>
      <w:r>
        <w:rPr>
          <w:rFonts w:hint="default" w:cs="Calibri" w:asciiTheme="minorHAnsi" w:hAnsiTheme="minorHAnsi"/>
          <w:szCs w:val="21"/>
          <w:lang w:val="en-US" w:eastAsia="zh-CN"/>
        </w:rPr>
        <w:t>LSE教授讲解核心理论与应用框架</w:t>
      </w:r>
      <w:r>
        <w:rPr>
          <w:rFonts w:hint="eastAsia" w:cs="Calibri" w:asciiTheme="minorHAnsi" w:hAnsiTheme="minorHAnsi"/>
          <w:szCs w:val="21"/>
          <w:lang w:val="en-US" w:eastAsia="zh-CN"/>
        </w:rPr>
        <w:t>，以及</w:t>
      </w:r>
      <w:r>
        <w:rPr>
          <w:rFonts w:hint="default" w:cs="Calibri" w:asciiTheme="minorHAnsi" w:hAnsiTheme="minorHAnsi"/>
          <w:szCs w:val="21"/>
          <w:lang w:val="en-US" w:eastAsia="zh-CN"/>
        </w:rPr>
        <w:t>由专家教师带领</w:t>
      </w:r>
      <w:r>
        <w:rPr>
          <w:rFonts w:hint="eastAsia" w:cs="Calibri" w:asciiTheme="minorHAnsi" w:hAnsiTheme="minorHAnsi"/>
          <w:szCs w:val="21"/>
          <w:lang w:val="en-US" w:eastAsia="zh-CN"/>
        </w:rPr>
        <w:t>的</w:t>
      </w:r>
      <w:r>
        <w:rPr>
          <w:rFonts w:hint="default" w:cs="Calibri" w:asciiTheme="minorHAnsi" w:hAnsiTheme="minorHAnsi"/>
          <w:szCs w:val="21"/>
          <w:lang w:val="en-US" w:eastAsia="zh-CN"/>
        </w:rPr>
        <w:t>小班研讨课，通过讨论、练习与案例延伸帮助学生加深理解与应用能力。在整个学习过程中，学生需要进行每日的自主学习和阅读准备，以适应高强度、沉浸式的学习节奏。</w:t>
      </w:r>
    </w:p>
    <w:p w14:paraId="59AB1158">
      <w:pPr>
        <w:spacing w:line="360" w:lineRule="auto"/>
        <w:ind w:firstLine="420" w:firstLineChars="0"/>
        <w:rPr>
          <w:rFonts w:hint="default" w:cs="Calibri" w:asciiTheme="minorHAnsi" w:hAnsiTheme="minorHAnsi"/>
          <w:szCs w:val="21"/>
          <w:lang w:val="en-US" w:eastAsia="zh-CN"/>
        </w:rPr>
      </w:pPr>
      <w:r>
        <w:rPr>
          <w:rFonts w:hint="default" w:cs="Calibri" w:asciiTheme="minorHAnsi" w:hAnsiTheme="minorHAnsi"/>
          <w:szCs w:val="21"/>
          <w:lang w:val="en-US" w:eastAsia="zh-CN"/>
        </w:rPr>
        <w:t>通过为期三周的集中学习，学生能够系统掌握一门专业核心课程的关键知识，提升学术能力、研究方法与批判性思维，为未来申请海外名校或进入相关行业奠定坚实基础。</w:t>
      </w:r>
    </w:p>
    <w:p w14:paraId="29625DC0">
      <w:pPr>
        <w:spacing w:line="360" w:lineRule="auto"/>
        <w:rPr>
          <w:rFonts w:cs="Calibri" w:asciiTheme="minorHAnsi" w:hAnsiTheme="minorHAnsi"/>
          <w:szCs w:val="21"/>
        </w:rPr>
      </w:pPr>
      <w:r>
        <w:rPr>
          <w:rFonts w:cs="Calibri" w:asciiTheme="minorHAnsi" w:hAnsiTheme="minorHAnsi"/>
          <w:szCs w:val="21"/>
        </w:rPr>
        <w:t>【</w:t>
      </w:r>
      <w:r>
        <w:rPr>
          <w:rFonts w:hint="eastAsia" w:cs="Calibri" w:asciiTheme="minorHAnsi" w:hAnsiTheme="minorHAnsi"/>
          <w:b/>
          <w:szCs w:val="21"/>
        </w:rPr>
        <w:t>项目收获</w:t>
      </w:r>
      <w:r>
        <w:rPr>
          <w:rFonts w:cs="Calibri" w:asciiTheme="minorHAnsi" w:hAnsiTheme="minorHAnsi"/>
          <w:szCs w:val="21"/>
        </w:rPr>
        <w:t>】</w:t>
      </w:r>
    </w:p>
    <w:p w14:paraId="0955295D">
      <w:pPr>
        <w:widowControl/>
        <w:spacing w:line="360" w:lineRule="auto"/>
        <w:ind w:firstLine="420" w:firstLineChars="200"/>
        <w:jc w:val="left"/>
        <w:rPr>
          <w:rFonts w:asciiTheme="minorHAnsi" w:hAnsiTheme="minorHAnsi" w:eastAsiaTheme="majorEastAsia" w:cstheme="minorHAnsi"/>
          <w:szCs w:val="21"/>
        </w:rPr>
      </w:pPr>
      <w:r>
        <w:rPr>
          <w:rFonts w:hint="eastAsia" w:asciiTheme="minorHAnsi" w:hAnsiTheme="minorHAnsi" w:eastAsiaTheme="majorEastAsia" w:cstheme="minorHAnsi"/>
          <w:szCs w:val="21"/>
        </w:rPr>
        <w:t>参加</w:t>
      </w:r>
      <w:r>
        <w:rPr>
          <w:rFonts w:hint="eastAsia" w:asciiTheme="minorHAnsi" w:hAnsiTheme="minorHAnsi" w:eastAsiaTheme="majorEastAsia" w:cstheme="minorHAnsi"/>
          <w:szCs w:val="21"/>
          <w:lang w:eastAsia="zh-CN"/>
        </w:rPr>
        <w:t>伦敦</w:t>
      </w:r>
      <w:r>
        <w:rPr>
          <w:rFonts w:hint="eastAsia" w:asciiTheme="minorHAnsi" w:hAnsiTheme="minorHAnsi" w:eastAsiaTheme="majorEastAsia" w:cstheme="minorHAnsi"/>
          <w:szCs w:val="21"/>
          <w:lang w:val="en-US" w:eastAsia="zh-CN"/>
        </w:rPr>
        <w:t>政治</w:t>
      </w:r>
      <w:r>
        <w:rPr>
          <w:rFonts w:hint="eastAsia" w:asciiTheme="minorHAnsi" w:hAnsiTheme="minorHAnsi" w:eastAsiaTheme="majorEastAsia" w:cstheme="minorHAnsi"/>
          <w:szCs w:val="21"/>
          <w:lang w:eastAsia="zh-CN"/>
        </w:rPr>
        <w:t>学院</w:t>
      </w:r>
      <w:r>
        <w:rPr>
          <w:rFonts w:hint="default" w:asciiTheme="minorHAnsi" w:hAnsiTheme="minorHAnsi" w:eastAsiaTheme="majorEastAsia" w:cstheme="minorHAnsi"/>
          <w:szCs w:val="21"/>
        </w:rPr>
        <w:t>暑期访学项目</w:t>
      </w:r>
      <w:r>
        <w:rPr>
          <w:rFonts w:hint="eastAsia" w:asciiTheme="minorHAnsi" w:hAnsiTheme="minorHAnsi" w:eastAsiaTheme="majorEastAsia" w:cstheme="minorHAnsi"/>
          <w:szCs w:val="21"/>
        </w:rPr>
        <w:t>的学生将由</w:t>
      </w:r>
      <w:r>
        <w:rPr>
          <w:rFonts w:hint="eastAsia" w:asciiTheme="minorHAnsi" w:hAnsiTheme="minorHAnsi" w:eastAsiaTheme="majorEastAsia" w:cstheme="minorHAnsi"/>
          <w:szCs w:val="21"/>
          <w:lang w:val="en-US" w:eastAsia="zh-CN"/>
        </w:rPr>
        <w:t>海外大学</w:t>
      </w:r>
      <w:r>
        <w:rPr>
          <w:rFonts w:hint="eastAsia" w:asciiTheme="minorHAnsi" w:hAnsiTheme="minorHAnsi" w:eastAsiaTheme="majorEastAsia" w:cstheme="minorHAnsi"/>
          <w:szCs w:val="21"/>
        </w:rPr>
        <w:t>进行统一的学术管理与学术考核，获得</w:t>
      </w:r>
      <w:r>
        <w:rPr>
          <w:rFonts w:hint="eastAsia" w:asciiTheme="minorHAnsi" w:hAnsiTheme="minorHAnsi" w:eastAsiaTheme="majorEastAsia" w:cstheme="minorHAnsi"/>
          <w:szCs w:val="21"/>
          <w:lang w:val="en-US" w:eastAsia="zh-CN"/>
        </w:rPr>
        <w:t>海外大学</w:t>
      </w:r>
      <w:r>
        <w:rPr>
          <w:rFonts w:hint="eastAsia" w:asciiTheme="minorHAnsi" w:hAnsiTheme="minorHAnsi" w:eastAsiaTheme="majorEastAsia" w:cstheme="minorHAnsi"/>
          <w:szCs w:val="21"/>
        </w:rPr>
        <w:t>正式</w:t>
      </w:r>
      <w:r>
        <w:rPr>
          <w:rFonts w:hint="eastAsia" w:asciiTheme="minorHAnsi" w:hAnsiTheme="minorHAnsi" w:eastAsiaTheme="majorEastAsia" w:cstheme="minorHAnsi"/>
          <w:szCs w:val="21"/>
          <w:lang w:val="en-US" w:eastAsia="zh-Hans"/>
        </w:rPr>
        <w:t>的成绩单</w:t>
      </w:r>
      <w:r>
        <w:rPr>
          <w:rFonts w:hint="default" w:asciiTheme="minorHAnsi" w:hAnsiTheme="minorHAnsi" w:eastAsiaTheme="majorEastAsia" w:cstheme="minorHAnsi"/>
          <w:szCs w:val="21"/>
          <w:lang w:eastAsia="zh-Hans"/>
        </w:rPr>
        <w:t>及项目证书</w:t>
      </w:r>
      <w:r>
        <w:rPr>
          <w:rFonts w:hint="eastAsia" w:asciiTheme="minorHAnsi" w:hAnsiTheme="minorHAnsi" w:eastAsiaTheme="majorEastAsia" w:cstheme="minorHAnsi"/>
          <w:szCs w:val="21"/>
        </w:rPr>
        <w:t>。</w:t>
      </w:r>
    </w:p>
    <w:p w14:paraId="2D63F7CB">
      <w:pPr>
        <w:widowControl/>
        <w:spacing w:line="360" w:lineRule="auto"/>
        <w:jc w:val="left"/>
        <w:rPr>
          <w:rFonts w:hint="default" w:cs="Calibri" w:asciiTheme="minorHAnsi" w:hAnsiTheme="minorHAnsi"/>
          <w:szCs w:val="21"/>
          <w:highlight w:val="none"/>
        </w:rPr>
      </w:pPr>
    </w:p>
    <w:p w14:paraId="2F5F2D6D">
      <w:pPr>
        <w:widowControl/>
        <w:spacing w:line="360" w:lineRule="auto"/>
        <w:jc w:val="left"/>
        <w:rPr>
          <w:rFonts w:cs="Calibri" w:asciiTheme="minorHAnsi" w:hAnsiTheme="minorHAnsi"/>
          <w:szCs w:val="21"/>
          <w:highlight w:val="none"/>
        </w:rPr>
      </w:pPr>
    </w:p>
    <w:p w14:paraId="6032C272">
      <w:pPr>
        <w:widowControl/>
        <w:spacing w:line="360" w:lineRule="auto"/>
        <w:jc w:val="left"/>
        <w:rPr>
          <w:rFonts w:cs="Calibri" w:asciiTheme="minorHAnsi" w:hAnsiTheme="minorHAnsi"/>
          <w:szCs w:val="21"/>
          <w:highlight w:val="none"/>
        </w:rPr>
      </w:pPr>
      <w:r>
        <w:rPr>
          <w:rFonts w:cs="Calibri" w:asciiTheme="minorHAnsi" w:hAnsiTheme="minorHAnsi"/>
          <w:szCs w:val="21"/>
          <w:highlight w:val="none"/>
        </w:rPr>
        <w:t>【</w:t>
      </w:r>
      <w:r>
        <w:rPr>
          <w:rFonts w:hint="eastAsia" w:asciiTheme="minorHAnsi" w:hAnsiTheme="minorHAnsi" w:eastAsiaTheme="majorEastAsia" w:cstheme="minorHAnsi"/>
          <w:b/>
          <w:bCs/>
          <w:kern w:val="0"/>
          <w:szCs w:val="21"/>
          <w:highlight w:val="none"/>
        </w:rPr>
        <w:t>项目</w:t>
      </w:r>
      <w:r>
        <w:rPr>
          <w:rFonts w:asciiTheme="minorHAnsi" w:hAnsiTheme="minorHAnsi" w:eastAsiaTheme="majorEastAsia" w:cstheme="minorHAnsi"/>
          <w:b/>
          <w:bCs/>
          <w:kern w:val="0"/>
          <w:szCs w:val="21"/>
          <w:highlight w:val="none"/>
        </w:rPr>
        <w:t>费用</w:t>
      </w:r>
      <w:r>
        <w:rPr>
          <w:rFonts w:cs="Calibri" w:asciiTheme="minorHAnsi" w:hAnsiTheme="minorHAnsi"/>
          <w:szCs w:val="21"/>
          <w:highlight w:val="none"/>
        </w:rPr>
        <w:t>】</w:t>
      </w:r>
    </w:p>
    <w:tbl>
      <w:tblPr>
        <w:tblStyle w:val="12"/>
        <w:tblW w:w="87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7"/>
        <w:gridCol w:w="6782"/>
      </w:tblGrid>
      <w:tr w14:paraId="576B8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1977" w:type="dxa"/>
          </w:tcPr>
          <w:p w14:paraId="0E347228">
            <w:pPr>
              <w:spacing w:line="360" w:lineRule="auto"/>
              <w:rPr>
                <w:rFonts w:asciiTheme="minorHAnsi" w:hAnsiTheme="minorHAnsi" w:eastAsiaTheme="majorEastAsia" w:cstheme="minorHAnsi"/>
                <w:szCs w:val="21"/>
              </w:rPr>
            </w:pPr>
            <w:r>
              <w:rPr>
                <w:rFonts w:hint="eastAsia" w:asciiTheme="minorHAnsi" w:hAnsiTheme="minorHAnsi" w:eastAsiaTheme="majorEastAsia" w:cstheme="minorHAnsi"/>
                <w:szCs w:val="21"/>
              </w:rPr>
              <w:t>项目总费用</w:t>
            </w:r>
          </w:p>
        </w:tc>
        <w:tc>
          <w:tcPr>
            <w:tcW w:w="6782" w:type="dxa"/>
          </w:tcPr>
          <w:p w14:paraId="117E22D0">
            <w:pPr>
              <w:spacing w:line="360" w:lineRule="auto"/>
              <w:jc w:val="left"/>
              <w:rPr>
                <w:rFonts w:hint="default" w:asciiTheme="minorHAnsi" w:hAnsiTheme="minorHAnsi" w:eastAsiaTheme="majorEastAsia" w:cstheme="minorHAnsi"/>
                <w:szCs w:val="21"/>
                <w:highlight w:val="none"/>
                <w:lang w:val="en-US" w:eastAsia="zh-CN"/>
                <w:woUserID w:val="1"/>
              </w:rPr>
            </w:pPr>
            <w:r>
              <w:rPr>
                <w:rFonts w:hint="eastAsia" w:asciiTheme="minorHAnsi" w:hAnsiTheme="minorHAnsi" w:eastAsiaTheme="majorEastAsia" w:cstheme="minorHAnsi"/>
                <w:szCs w:val="21"/>
                <w:highlight w:val="none"/>
                <w:lang w:val="en-US" w:eastAsia="zh-CN"/>
                <w:woUserID w:val="1"/>
              </w:rPr>
              <w:t>四周5511英镑，约合人民币5.2万元</w:t>
            </w:r>
          </w:p>
        </w:tc>
      </w:tr>
      <w:tr w14:paraId="71531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7" w:type="dxa"/>
          </w:tcPr>
          <w:p w14:paraId="1542C0C0">
            <w:pPr>
              <w:spacing w:line="360" w:lineRule="auto"/>
              <w:rPr>
                <w:rFonts w:asciiTheme="minorHAnsi" w:hAnsiTheme="minorHAnsi" w:eastAsiaTheme="majorEastAsia" w:cstheme="minorHAnsi"/>
                <w:szCs w:val="21"/>
              </w:rPr>
            </w:pPr>
            <w:r>
              <w:rPr>
                <w:rFonts w:hint="eastAsia" w:asciiTheme="minorHAnsi" w:hAnsiTheme="minorHAnsi" w:eastAsiaTheme="majorEastAsia" w:cstheme="minorHAnsi"/>
                <w:szCs w:val="21"/>
              </w:rPr>
              <w:t>费用包括</w:t>
            </w:r>
          </w:p>
        </w:tc>
        <w:tc>
          <w:tcPr>
            <w:tcW w:w="6782" w:type="dxa"/>
          </w:tcPr>
          <w:p w14:paraId="5C71C85C">
            <w:pPr>
              <w:spacing w:line="360" w:lineRule="auto"/>
              <w:rPr>
                <w:rFonts w:hint="default" w:asciiTheme="minorHAnsi" w:hAnsiTheme="minorHAnsi" w:eastAsiaTheme="majorEastAsia" w:cstheme="minorHAnsi"/>
                <w:szCs w:val="21"/>
                <w:lang w:eastAsia="zh-CN"/>
                <w:woUserID w:val="1"/>
              </w:rPr>
            </w:pPr>
            <w:r>
              <w:rPr>
                <w:rFonts w:hint="default" w:asciiTheme="minorHAnsi" w:hAnsiTheme="minorHAnsi" w:eastAsiaTheme="majorEastAsia" w:cstheme="minorHAnsi"/>
                <w:szCs w:val="21"/>
                <w:lang w:eastAsia="zh-Hans"/>
              </w:rPr>
              <w:t>学</w:t>
            </w:r>
            <w:r>
              <w:rPr>
                <w:rFonts w:hint="eastAsia" w:asciiTheme="minorHAnsi" w:hAnsiTheme="minorHAnsi" w:eastAsiaTheme="majorEastAsia" w:cstheme="minorHAnsi"/>
                <w:szCs w:val="21"/>
                <w:lang w:val="en-US" w:eastAsia="zh-Hans"/>
              </w:rPr>
              <w:t>费</w:t>
            </w:r>
            <w:r>
              <w:rPr>
                <w:rFonts w:hint="eastAsia" w:asciiTheme="minorHAnsi" w:hAnsiTheme="minorHAnsi" w:eastAsiaTheme="majorEastAsia" w:cstheme="minorHAnsi"/>
                <w:szCs w:val="21"/>
                <w:lang w:val="en-US" w:eastAsia="zh-CN"/>
              </w:rPr>
              <w:t>、</w:t>
            </w:r>
            <w:r>
              <w:rPr>
                <w:rFonts w:hint="default" w:asciiTheme="minorHAnsi" w:hAnsiTheme="minorHAnsi" w:eastAsiaTheme="majorEastAsia" w:cstheme="minorHAnsi"/>
                <w:szCs w:val="21"/>
                <w:lang w:eastAsia="zh-Hans"/>
              </w:rPr>
              <w:t>项目管理与服务费、</w:t>
            </w:r>
            <w:r>
              <w:rPr>
                <w:rFonts w:hint="default" w:asciiTheme="minorHAnsi" w:hAnsiTheme="minorHAnsi" w:eastAsiaTheme="majorEastAsia" w:cstheme="minorHAnsi"/>
                <w:szCs w:val="21"/>
                <w:lang w:eastAsia="zh-Hans"/>
                <w:woUserID w:val="1"/>
              </w:rPr>
              <w:t>海外保险</w:t>
            </w:r>
            <w:r>
              <w:rPr>
                <w:rFonts w:hint="default" w:asciiTheme="minorHAnsi" w:hAnsiTheme="minorHAnsi" w:eastAsiaTheme="majorEastAsia" w:cstheme="minorHAnsi"/>
                <w:szCs w:val="21"/>
                <w:lang w:eastAsia="zh-Hans"/>
              </w:rPr>
              <w:t>、</w:t>
            </w:r>
            <w:r>
              <w:rPr>
                <w:rFonts w:hint="eastAsia" w:asciiTheme="minorHAnsi" w:hAnsiTheme="minorHAnsi" w:eastAsiaTheme="majorEastAsia" w:cstheme="minorHAnsi"/>
                <w:szCs w:val="21"/>
                <w:lang w:val="en-US" w:eastAsia="zh-Hans"/>
              </w:rPr>
              <w:t>落地接机</w:t>
            </w:r>
            <w:r>
              <w:rPr>
                <w:rFonts w:hint="default" w:asciiTheme="minorHAnsi" w:hAnsiTheme="minorHAnsi" w:eastAsiaTheme="majorEastAsia" w:cstheme="minorHAnsi"/>
                <w:szCs w:val="21"/>
                <w:lang w:eastAsia="zh-Hans"/>
              </w:rPr>
              <w:t>、</w:t>
            </w:r>
            <w:r>
              <w:rPr>
                <w:rFonts w:hint="eastAsia" w:asciiTheme="minorHAnsi" w:hAnsiTheme="minorHAnsi" w:eastAsiaTheme="majorEastAsia" w:cstheme="minorHAnsi"/>
                <w:szCs w:val="21"/>
                <w:lang w:val="en-US" w:eastAsia="zh-Hans"/>
              </w:rPr>
              <w:t>签证培训</w:t>
            </w:r>
            <w:r>
              <w:rPr>
                <w:rFonts w:hint="default" w:asciiTheme="minorHAnsi" w:hAnsiTheme="minorHAnsi" w:eastAsiaTheme="majorEastAsia" w:cstheme="minorHAnsi"/>
                <w:szCs w:val="21"/>
                <w:lang w:eastAsia="zh-Hans"/>
                <w:woUserID w:val="1"/>
              </w:rPr>
              <w:t>、行前培训</w:t>
            </w:r>
          </w:p>
        </w:tc>
      </w:tr>
      <w:tr w14:paraId="4416F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7" w:type="dxa"/>
          </w:tcPr>
          <w:p w14:paraId="783623DD">
            <w:pPr>
              <w:spacing w:line="360" w:lineRule="auto"/>
              <w:rPr>
                <w:rFonts w:hint="default" w:asciiTheme="minorHAnsi" w:hAnsiTheme="minorHAnsi" w:eastAsiaTheme="majorEastAsia" w:cstheme="minorHAnsi"/>
                <w:szCs w:val="21"/>
                <w:lang w:val="en-US" w:eastAsia="zh-Hans"/>
              </w:rPr>
            </w:pPr>
            <w:r>
              <w:rPr>
                <w:rFonts w:hint="eastAsia" w:asciiTheme="minorHAnsi" w:hAnsiTheme="minorHAnsi" w:eastAsiaTheme="majorEastAsia" w:cstheme="minorHAnsi"/>
                <w:szCs w:val="21"/>
                <w:lang w:val="en-US" w:eastAsia="zh-Hans"/>
              </w:rPr>
              <w:t>费用不包括</w:t>
            </w:r>
          </w:p>
        </w:tc>
        <w:tc>
          <w:tcPr>
            <w:tcW w:w="6782" w:type="dxa"/>
          </w:tcPr>
          <w:p w14:paraId="75652DCA">
            <w:pPr>
              <w:spacing w:line="360" w:lineRule="auto"/>
              <w:rPr>
                <w:rFonts w:hint="default" w:asciiTheme="minorHAnsi" w:hAnsiTheme="minorHAnsi" w:eastAsiaTheme="majorEastAsia" w:cstheme="minorHAnsi"/>
                <w:szCs w:val="21"/>
                <w:lang w:val="en-US" w:eastAsia="zh-Hans"/>
              </w:rPr>
            </w:pPr>
            <w:r>
              <w:rPr>
                <w:rFonts w:hint="eastAsia" w:asciiTheme="minorHAnsi" w:hAnsiTheme="minorHAnsi" w:eastAsiaTheme="majorEastAsia" w:cstheme="minorHAnsi"/>
                <w:szCs w:val="21"/>
                <w:lang w:val="en-US" w:eastAsia="zh-Hans"/>
              </w:rPr>
              <w:t>签证费</w:t>
            </w:r>
            <w:r>
              <w:rPr>
                <w:rFonts w:hint="default" w:asciiTheme="minorHAnsi" w:hAnsiTheme="minorHAnsi" w:eastAsiaTheme="majorEastAsia" w:cstheme="minorHAnsi"/>
                <w:szCs w:val="21"/>
                <w:lang w:eastAsia="zh-Hans"/>
              </w:rPr>
              <w:t>、</w:t>
            </w:r>
            <w:r>
              <w:rPr>
                <w:rFonts w:hint="eastAsia" w:asciiTheme="minorHAnsi" w:hAnsiTheme="minorHAnsi" w:eastAsiaTheme="majorEastAsia" w:cstheme="minorHAnsi"/>
                <w:szCs w:val="21"/>
                <w:lang w:val="en-US" w:eastAsia="zh-CN"/>
              </w:rPr>
              <w:t>学校宿舍住宿费、</w:t>
            </w:r>
            <w:r>
              <w:rPr>
                <w:rFonts w:hint="eastAsia" w:asciiTheme="minorHAnsi" w:hAnsiTheme="minorHAnsi" w:eastAsiaTheme="majorEastAsia" w:cstheme="minorHAnsi"/>
                <w:szCs w:val="21"/>
                <w:lang w:val="en-US" w:eastAsia="zh-Hans"/>
              </w:rPr>
              <w:t>往返机票及交通</w:t>
            </w:r>
            <w:r>
              <w:rPr>
                <w:rFonts w:hint="default" w:asciiTheme="minorHAnsi" w:hAnsiTheme="minorHAnsi" w:eastAsiaTheme="majorEastAsia" w:cstheme="minorHAnsi"/>
                <w:szCs w:val="21"/>
                <w:lang w:eastAsia="zh-Hans"/>
              </w:rPr>
              <w:t>、</w:t>
            </w:r>
            <w:r>
              <w:rPr>
                <w:rFonts w:hint="eastAsia" w:asciiTheme="minorHAnsi" w:hAnsiTheme="minorHAnsi" w:eastAsiaTheme="majorEastAsia" w:cstheme="minorHAnsi"/>
                <w:szCs w:val="21"/>
                <w:lang w:val="en-US" w:eastAsia="zh-Hans"/>
              </w:rPr>
              <w:t>餐食及其他个人消费</w:t>
            </w:r>
          </w:p>
        </w:tc>
      </w:tr>
    </w:tbl>
    <w:p w14:paraId="5BB5661A">
      <w:pPr>
        <w:spacing w:line="360" w:lineRule="auto"/>
        <w:rPr>
          <w:rFonts w:asciiTheme="minorHAnsi" w:hAnsiTheme="minorHAnsi" w:eastAsiaTheme="majorEastAsia" w:cstheme="minorHAnsi"/>
          <w:b/>
          <w:kern w:val="0"/>
          <w:szCs w:val="21"/>
        </w:rPr>
      </w:pPr>
      <w:r>
        <w:rPr>
          <w:rFonts w:asciiTheme="minorHAnsi" w:hAnsiTheme="minorHAnsi" w:eastAsiaTheme="majorEastAsia" w:cstheme="minorHAnsi"/>
          <w:b/>
          <w:bCs/>
          <w:kern w:val="0"/>
          <w:szCs w:val="21"/>
        </w:rPr>
        <w:t>五、</w:t>
      </w:r>
      <w:r>
        <w:rPr>
          <w:rFonts w:hint="eastAsia" w:asciiTheme="minorHAnsi" w:hAnsiTheme="minorHAnsi" w:eastAsiaTheme="majorEastAsia" w:cstheme="minorHAnsi"/>
          <w:b/>
          <w:bCs/>
          <w:kern w:val="0"/>
          <w:szCs w:val="21"/>
        </w:rPr>
        <w:t>项目申请</w:t>
      </w:r>
    </w:p>
    <w:p w14:paraId="3C582A24">
      <w:pPr>
        <w:pStyle w:val="19"/>
        <w:widowControl/>
        <w:numPr>
          <w:ilvl w:val="0"/>
          <w:numId w:val="3"/>
        </w:numPr>
        <w:spacing w:line="360" w:lineRule="auto"/>
        <w:ind w:firstLineChars="0"/>
        <w:jc w:val="left"/>
        <w:rPr>
          <w:rFonts w:cs="Calibri" w:asciiTheme="minorHAnsi" w:hAnsiTheme="minorHAnsi"/>
          <w:szCs w:val="21"/>
        </w:rPr>
      </w:pPr>
      <w:r>
        <w:rPr>
          <w:rFonts w:asciiTheme="minorHAnsi" w:hAnsiTheme="minorHAnsi" w:eastAsiaTheme="majorEastAsia" w:cstheme="minorHAnsi"/>
          <w:b/>
          <w:kern w:val="0"/>
          <w:szCs w:val="21"/>
        </w:rPr>
        <w:t>项目申请截止日期</w:t>
      </w:r>
      <w:r>
        <w:rPr>
          <w:rFonts w:hint="eastAsia" w:asciiTheme="minorHAnsi" w:hAnsiTheme="minorHAnsi" w:eastAsiaTheme="majorEastAsia" w:cstheme="minorHAnsi"/>
          <w:kern w:val="0"/>
          <w:szCs w:val="21"/>
        </w:rPr>
        <w:t>：202</w:t>
      </w:r>
      <w:r>
        <w:rPr>
          <w:rFonts w:hint="eastAsia" w:asciiTheme="minorHAnsi" w:hAnsiTheme="minorHAnsi" w:eastAsiaTheme="majorEastAsia" w:cstheme="minorHAnsi"/>
          <w:kern w:val="0"/>
          <w:szCs w:val="21"/>
          <w:lang w:val="en-US" w:eastAsia="zh-CN"/>
        </w:rPr>
        <w:t>6</w:t>
      </w:r>
      <w:r>
        <w:rPr>
          <w:rFonts w:hint="eastAsia" w:asciiTheme="minorHAnsi" w:hAnsiTheme="minorHAnsi" w:eastAsiaTheme="majorEastAsia" w:cstheme="minorHAnsi"/>
          <w:kern w:val="0"/>
          <w:szCs w:val="21"/>
        </w:rPr>
        <w:t>年</w:t>
      </w:r>
      <w:r>
        <w:rPr>
          <w:rFonts w:hint="eastAsia" w:asciiTheme="minorHAnsi" w:hAnsiTheme="minorHAnsi" w:eastAsiaTheme="majorEastAsia" w:cstheme="minorHAnsi"/>
          <w:kern w:val="0"/>
          <w:szCs w:val="21"/>
          <w:lang w:val="en-US" w:eastAsia="zh-CN"/>
        </w:rPr>
        <w:t>5</w:t>
      </w:r>
      <w:r>
        <w:rPr>
          <w:rFonts w:hint="eastAsia" w:asciiTheme="minorHAnsi" w:hAnsiTheme="minorHAnsi" w:eastAsiaTheme="majorEastAsia" w:cstheme="minorHAnsi"/>
          <w:kern w:val="0"/>
          <w:szCs w:val="21"/>
        </w:rPr>
        <w:t>月</w:t>
      </w:r>
      <w:r>
        <w:rPr>
          <w:rFonts w:hint="eastAsia" w:asciiTheme="minorHAnsi" w:hAnsiTheme="minorHAnsi" w:eastAsiaTheme="majorEastAsia" w:cstheme="minorHAnsi"/>
          <w:kern w:val="0"/>
          <w:szCs w:val="21"/>
          <w:lang w:val="en-US" w:eastAsia="zh-CN"/>
        </w:rPr>
        <w:t>10</w:t>
      </w:r>
      <w:r>
        <w:rPr>
          <w:rFonts w:hint="eastAsia" w:asciiTheme="minorHAnsi" w:hAnsiTheme="minorHAnsi" w:eastAsiaTheme="majorEastAsia" w:cstheme="minorHAnsi"/>
          <w:kern w:val="0"/>
          <w:szCs w:val="21"/>
        </w:rPr>
        <w:t>日</w:t>
      </w:r>
    </w:p>
    <w:p w14:paraId="74517E33">
      <w:pPr>
        <w:pStyle w:val="19"/>
        <w:widowControl/>
        <w:numPr>
          <w:ilvl w:val="0"/>
          <w:numId w:val="3"/>
        </w:numPr>
        <w:spacing w:line="360" w:lineRule="auto"/>
        <w:ind w:firstLineChars="0"/>
        <w:jc w:val="left"/>
        <w:rPr>
          <w:rFonts w:cs="Calibri" w:asciiTheme="minorHAnsi" w:hAnsiTheme="minorHAnsi"/>
          <w:szCs w:val="21"/>
        </w:rPr>
      </w:pPr>
      <w:r>
        <w:rPr>
          <w:rFonts w:asciiTheme="minorHAnsi" w:hAnsiTheme="minorHAnsi" w:eastAsiaTheme="majorEastAsia" w:cstheme="minorHAnsi"/>
          <w:b/>
          <w:kern w:val="0"/>
          <w:szCs w:val="21"/>
        </w:rPr>
        <w:t>选拔要求</w:t>
      </w:r>
    </w:p>
    <w:p w14:paraId="2A449436">
      <w:pPr>
        <w:pStyle w:val="19"/>
        <w:numPr>
          <w:ilvl w:val="0"/>
          <w:numId w:val="4"/>
        </w:numPr>
        <w:spacing w:line="360" w:lineRule="auto"/>
        <w:ind w:firstLineChars="0"/>
        <w:rPr>
          <w:rFonts w:asciiTheme="minorHAnsi" w:hAnsiTheme="minorHAnsi" w:eastAsiaTheme="majorEastAsia" w:cstheme="minorHAnsi"/>
          <w:szCs w:val="21"/>
        </w:rPr>
      </w:pPr>
      <w:r>
        <w:rPr>
          <w:rFonts w:asciiTheme="minorHAnsi" w:hAnsiTheme="minorHAnsi" w:eastAsiaTheme="majorEastAsia" w:cstheme="minorHAnsi"/>
          <w:szCs w:val="21"/>
        </w:rPr>
        <w:t>仅限本校</w:t>
      </w:r>
      <w:r>
        <w:rPr>
          <w:rFonts w:hint="eastAsia" w:asciiTheme="minorHAnsi" w:hAnsiTheme="minorHAnsi" w:eastAsiaTheme="majorEastAsia" w:cstheme="minorHAnsi"/>
          <w:szCs w:val="21"/>
        </w:rPr>
        <w:t>全日制本科生及研究生，成绩优异、道德品质好，在校期间未受过纪律处分，身心健康，能顺利完成</w:t>
      </w:r>
      <w:r>
        <w:rPr>
          <w:rFonts w:hint="default" w:asciiTheme="minorHAnsi" w:hAnsiTheme="minorHAnsi" w:eastAsiaTheme="majorEastAsia" w:cstheme="minorHAnsi"/>
          <w:szCs w:val="21"/>
        </w:rPr>
        <w:t>海外</w:t>
      </w:r>
      <w:r>
        <w:rPr>
          <w:rFonts w:hint="eastAsia" w:asciiTheme="minorHAnsi" w:hAnsiTheme="minorHAnsi" w:eastAsiaTheme="majorEastAsia" w:cstheme="minorHAnsi"/>
          <w:szCs w:val="21"/>
        </w:rPr>
        <w:t>学习任务；</w:t>
      </w:r>
    </w:p>
    <w:p w14:paraId="7697BCED">
      <w:pPr>
        <w:pStyle w:val="19"/>
        <w:numPr>
          <w:ilvl w:val="0"/>
          <w:numId w:val="4"/>
        </w:numPr>
        <w:spacing w:line="360" w:lineRule="auto"/>
        <w:ind w:firstLineChars="0"/>
        <w:rPr>
          <w:rFonts w:asciiTheme="minorHAnsi" w:hAnsiTheme="minorHAnsi" w:eastAsiaTheme="majorEastAsia" w:cstheme="minorHAnsi"/>
          <w:szCs w:val="21"/>
        </w:rPr>
      </w:pPr>
      <w:r>
        <w:rPr>
          <w:rFonts w:hint="eastAsia" w:asciiTheme="minorHAnsi" w:hAnsiTheme="minorHAnsi" w:eastAsiaTheme="majorEastAsia" w:cstheme="minorHAnsi"/>
          <w:szCs w:val="21"/>
        </w:rPr>
        <w:t>年龄：学生开课时需已满18岁</w:t>
      </w:r>
      <w:r>
        <w:rPr>
          <w:rFonts w:hint="eastAsia" w:asciiTheme="minorHAnsi" w:hAnsiTheme="minorHAnsi" w:eastAsiaTheme="majorEastAsia" w:cstheme="minorHAnsi"/>
          <w:szCs w:val="21"/>
          <w:lang w:eastAsia="zh-CN"/>
        </w:rPr>
        <w:t>；</w:t>
      </w:r>
    </w:p>
    <w:p w14:paraId="75D3FF4B">
      <w:pPr>
        <w:pStyle w:val="19"/>
        <w:numPr>
          <w:ilvl w:val="0"/>
          <w:numId w:val="4"/>
        </w:numPr>
        <w:spacing w:line="360" w:lineRule="auto"/>
        <w:ind w:firstLineChars="0"/>
        <w:rPr>
          <w:rFonts w:hint="default" w:asciiTheme="minorHAnsi" w:hAnsiTheme="minorHAnsi" w:eastAsiaTheme="majorEastAsia" w:cstheme="minorHAnsi"/>
          <w:szCs w:val="21"/>
          <w:lang w:val="en-US"/>
        </w:rPr>
      </w:pPr>
      <w:r>
        <w:rPr>
          <w:rFonts w:hint="eastAsia" w:asciiTheme="minorHAnsi" w:hAnsiTheme="minorHAnsi" w:eastAsiaTheme="majorEastAsia" w:cstheme="minorHAnsi"/>
          <w:szCs w:val="21"/>
          <w:highlight w:val="none"/>
        </w:rPr>
        <w:t>申请要求</w:t>
      </w:r>
      <w:r>
        <w:rPr>
          <w:rFonts w:hint="eastAsia" w:asciiTheme="minorHAnsi" w:hAnsiTheme="minorHAnsi" w:eastAsiaTheme="majorEastAsia" w:cstheme="minorHAnsi"/>
          <w:szCs w:val="21"/>
          <w:highlight w:val="none"/>
          <w:lang w:eastAsia="zh-CN"/>
        </w:rPr>
        <w:t>：</w:t>
      </w:r>
      <w:r>
        <w:rPr>
          <w:rFonts w:hint="eastAsia" w:asciiTheme="minorHAnsi" w:hAnsiTheme="minorHAnsi" w:eastAsiaTheme="majorEastAsia" w:cstheme="minorHAnsi"/>
          <w:b/>
          <w:bCs/>
          <w:color w:val="auto"/>
          <w:szCs w:val="21"/>
          <w:highlight w:val="none"/>
          <w:lang w:val="en-US" w:eastAsia="zh-CN"/>
          <w:woUserID w:val="1"/>
        </w:rPr>
        <w:t>四级/六级470分（参加一周学术英语预备课程</w:t>
      </w:r>
      <w:r>
        <w:rPr>
          <w:rFonts w:hint="eastAsia" w:asciiTheme="minorHAnsi" w:hAnsiTheme="minorHAnsi" w:eastAsiaTheme="majorEastAsia" w:cstheme="minorHAnsi"/>
          <w:b w:val="0"/>
          <w:bCs w:val="0"/>
          <w:color w:val="auto"/>
          <w:szCs w:val="21"/>
          <w:highlight w:val="none"/>
          <w:lang w:val="en-US" w:eastAsia="zh-CN"/>
          <w:woUserID w:val="1"/>
        </w:rPr>
        <w:t>），如只参加三周专业课程：雅思7分（小分不低于7），托福107分（小分不低于25），</w:t>
      </w:r>
      <w:r>
        <w:rPr>
          <w:rFonts w:hint="default" w:asciiTheme="minorHAnsi" w:hAnsiTheme="minorHAnsi" w:eastAsiaTheme="majorEastAsia" w:cstheme="minorHAnsi"/>
          <w:b w:val="0"/>
          <w:bCs w:val="0"/>
          <w:color w:val="auto"/>
          <w:szCs w:val="21"/>
          <w:highlight w:val="none"/>
          <w:lang w:val="en-US" w:eastAsia="zh-CN"/>
          <w:woUserID w:val="1"/>
        </w:rPr>
        <w:t>PTE65</w:t>
      </w:r>
      <w:r>
        <w:rPr>
          <w:rFonts w:hint="eastAsia" w:asciiTheme="minorHAnsi" w:hAnsiTheme="minorHAnsi" w:eastAsiaTheme="majorEastAsia" w:cstheme="minorHAnsi"/>
          <w:b w:val="0"/>
          <w:bCs w:val="0"/>
          <w:color w:val="auto"/>
          <w:szCs w:val="21"/>
          <w:highlight w:val="none"/>
          <w:lang w:val="en-US" w:eastAsia="zh-CN"/>
          <w:woUserID w:val="1"/>
        </w:rPr>
        <w:t>（小分不低于65）</w:t>
      </w:r>
    </w:p>
    <w:p w14:paraId="10D6A249">
      <w:pPr>
        <w:pStyle w:val="19"/>
        <w:numPr>
          <w:ilvl w:val="0"/>
          <w:numId w:val="0"/>
        </w:numPr>
        <w:spacing w:line="360" w:lineRule="auto"/>
        <w:ind w:leftChars="0"/>
        <w:rPr>
          <w:rFonts w:cs="Calibri" w:asciiTheme="minorHAnsi" w:hAnsiTheme="minorHAnsi"/>
          <w:b/>
          <w:bCs w:val="0"/>
          <w:szCs w:val="21"/>
        </w:rPr>
      </w:pPr>
      <w:r>
        <w:rPr>
          <w:rFonts w:asciiTheme="minorHAnsi" w:hAnsiTheme="minorHAnsi" w:eastAsiaTheme="majorEastAsia" w:cstheme="minorHAnsi"/>
          <w:b/>
          <w:kern w:val="0"/>
          <w:szCs w:val="21"/>
          <w:woUserID w:val="1"/>
        </w:rPr>
        <w:t>3</w:t>
      </w:r>
      <w:r>
        <w:rPr>
          <w:rFonts w:asciiTheme="minorHAnsi" w:hAnsiTheme="minorHAnsi" w:eastAsiaTheme="majorEastAsia" w:cstheme="minorHAnsi"/>
          <w:b/>
          <w:kern w:val="0"/>
          <w:szCs w:val="21"/>
        </w:rPr>
        <w:t>、项目申请录取方式和报名流程</w:t>
      </w:r>
    </w:p>
    <w:p w14:paraId="1C020413">
      <w:pPr>
        <w:pStyle w:val="19"/>
        <w:numPr>
          <w:ilvl w:val="0"/>
          <w:numId w:val="5"/>
        </w:numPr>
        <w:spacing w:line="360" w:lineRule="auto"/>
        <w:ind w:firstLineChars="0"/>
        <w:jc w:val="both"/>
        <w:rPr>
          <w:rFonts w:ascii="宋体" w:hAnsi="宋体" w:cs="宋体"/>
          <w:kern w:val="0"/>
          <w:szCs w:val="21"/>
        </w:rPr>
      </w:pPr>
      <w:r>
        <w:rPr>
          <w:rFonts w:asciiTheme="minorHAnsi" w:hAnsiTheme="minorHAnsi" w:eastAsiaTheme="majorEastAsia" w:cstheme="minorHAnsi"/>
          <w:kern w:val="0"/>
          <w:szCs w:val="21"/>
          <w:highlight w:val="none"/>
        </w:rPr>
        <w:t>学生本人提出申请；</w:t>
      </w:r>
    </w:p>
    <w:p w14:paraId="17F3BE0B">
      <w:pPr>
        <w:pStyle w:val="19"/>
        <w:numPr>
          <w:ilvl w:val="0"/>
          <w:numId w:val="5"/>
        </w:numPr>
        <w:spacing w:line="360" w:lineRule="auto"/>
        <w:ind w:firstLineChars="0"/>
        <w:jc w:val="both"/>
        <w:rPr>
          <w:rFonts w:hint="eastAsia" w:ascii="宋体" w:hAnsi="宋体" w:eastAsia="宋体" w:cs="宋体"/>
          <w:kern w:val="0"/>
          <w:sz w:val="21"/>
          <w:szCs w:val="21"/>
        </w:rPr>
      </w:pPr>
      <w:r>
        <w:rPr>
          <w:rFonts w:hint="eastAsia" w:ascii="宋体" w:hAnsi="宋体" w:eastAsia="宋体" w:cs="宋体"/>
          <w:kern w:val="2"/>
          <w:sz w:val="21"/>
          <w:szCs w:val="21"/>
          <w:lang w:val="en-US" w:eastAsia="zh-CN" w:bidi="ar"/>
        </w:rPr>
        <w:t>学生需扫描下方二维码填写《</w:t>
      </w:r>
      <w:r>
        <w:rPr>
          <w:rFonts w:hint="default" w:ascii="Calibri" w:hAnsi="Calibri" w:eastAsia="宋体" w:cs="Calibri"/>
          <w:kern w:val="2"/>
          <w:sz w:val="21"/>
          <w:szCs w:val="21"/>
          <w:lang w:val="en-US" w:eastAsia="zh-CN" w:bidi="ar"/>
        </w:rPr>
        <w:t>202</w:t>
      </w:r>
      <w:r>
        <w:rPr>
          <w:rFonts w:hint="eastAsia" w:ascii="Calibri" w:hAnsi="Calibri" w:cs="Calibri"/>
          <w:kern w:val="2"/>
          <w:sz w:val="21"/>
          <w:szCs w:val="21"/>
          <w:lang w:val="en-US" w:eastAsia="zh-CN" w:bidi="ar"/>
        </w:rPr>
        <w:t>6夏秋</w:t>
      </w:r>
      <w:r>
        <w:rPr>
          <w:rFonts w:hint="eastAsia" w:ascii="宋体" w:hAnsi="宋体" w:eastAsia="宋体" w:cs="宋体"/>
          <w:kern w:val="2"/>
          <w:sz w:val="21"/>
          <w:szCs w:val="21"/>
          <w:lang w:val="en-US" w:eastAsia="zh-CN" w:bidi="ar"/>
        </w:rPr>
        <w:t>世界名校访学项目报名表》，网上报名的时间决定录取的顺序；</w:t>
      </w:r>
    </w:p>
    <w:p w14:paraId="26D4D6B6">
      <w:pPr>
        <w:pStyle w:val="10"/>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right="0" w:rightChars="0"/>
        <w:jc w:val="both"/>
        <w:textAlignment w:val="auto"/>
        <w:outlineLvl w:val="9"/>
        <w:rPr>
          <w:rFonts w:hint="default" w:ascii="宋体" w:hAnsi="宋体" w:eastAsia="宋体" w:cs="宋体"/>
          <w:lang w:val="en-US" w:eastAsia="zh-CN"/>
        </w:rPr>
      </w:pPr>
      <w:r>
        <w:rPr>
          <w:rFonts w:hint="eastAsia" w:cs="宋体"/>
          <w:lang w:val="en-US" w:eastAsia="zh-CN"/>
        </w:rPr>
        <w:t xml:space="preserve">    </w:t>
      </w:r>
      <w:r>
        <w:rPr>
          <w:rFonts w:hint="default" w:ascii="宋体" w:hAnsi="宋体" w:eastAsia="宋体" w:cs="宋体"/>
          <w:lang w:val="en-US" w:eastAsia="zh-CN"/>
        </w:rPr>
        <w:drawing>
          <wp:inline distT="0" distB="0" distL="114300" distR="114300">
            <wp:extent cx="1057910" cy="1057910"/>
            <wp:effectExtent l="0" t="0" r="8890" b="8890"/>
            <wp:docPr id="3" name="图片 3" descr="7610a3bc20380ea2aeb1d503d85eac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7610a3bc20380ea2aeb1d503d85eac71"/>
                    <pic:cNvPicPr>
                      <a:picLocks noChangeAspect="1"/>
                    </pic:cNvPicPr>
                  </pic:nvPicPr>
                  <pic:blipFill>
                    <a:blip r:embed="rId6"/>
                    <a:stretch>
                      <a:fillRect/>
                    </a:stretch>
                  </pic:blipFill>
                  <pic:spPr>
                    <a:xfrm>
                      <a:off x="0" y="0"/>
                      <a:ext cx="1057910" cy="1057910"/>
                    </a:xfrm>
                    <a:prstGeom prst="rect">
                      <a:avLst/>
                    </a:prstGeom>
                  </pic:spPr>
                </pic:pic>
              </a:graphicData>
            </a:graphic>
          </wp:inline>
        </w:drawing>
      </w:r>
    </w:p>
    <w:p w14:paraId="51F60D2D">
      <w:pPr>
        <w:pStyle w:val="19"/>
        <w:numPr>
          <w:ilvl w:val="0"/>
          <w:numId w:val="5"/>
        </w:numPr>
        <w:spacing w:line="360" w:lineRule="auto"/>
        <w:ind w:firstLineChars="0"/>
        <w:jc w:val="left"/>
        <w:rPr>
          <w:rFonts w:ascii="宋体" w:hAnsi="宋体" w:cs="宋体"/>
          <w:kern w:val="0"/>
          <w:szCs w:val="21"/>
        </w:rPr>
      </w:pPr>
      <w:r>
        <w:rPr>
          <w:rFonts w:asciiTheme="minorHAnsi" w:hAnsiTheme="minorHAnsi" w:eastAsiaTheme="majorEastAsia" w:cstheme="minorHAnsi"/>
          <w:szCs w:val="21"/>
        </w:rPr>
        <w:t>学生申请资料经初步审核后，参加面试确定预录取名单；</w:t>
      </w:r>
    </w:p>
    <w:p w14:paraId="703EE33A">
      <w:pPr>
        <w:pStyle w:val="19"/>
        <w:numPr>
          <w:ilvl w:val="0"/>
          <w:numId w:val="5"/>
        </w:numPr>
        <w:spacing w:line="360" w:lineRule="auto"/>
        <w:ind w:firstLineChars="0"/>
        <w:jc w:val="left"/>
        <w:rPr>
          <w:rFonts w:ascii="宋体" w:hAnsi="宋体" w:cs="宋体"/>
          <w:kern w:val="0"/>
          <w:szCs w:val="21"/>
        </w:rPr>
      </w:pPr>
      <w:r>
        <w:rPr>
          <w:rFonts w:asciiTheme="minorHAnsi" w:hAnsiTheme="minorHAnsi" w:eastAsiaTheme="majorEastAsia" w:cstheme="minorHAnsi"/>
          <w:kern w:val="0"/>
          <w:szCs w:val="21"/>
          <w:highlight w:val="none"/>
        </w:rPr>
        <w:t>学校国际合作交流处</w:t>
      </w:r>
      <w:r>
        <w:rPr>
          <w:rFonts w:hint="eastAsia" w:asciiTheme="minorHAnsi" w:hAnsiTheme="minorHAnsi" w:eastAsiaTheme="majorEastAsia" w:cstheme="minorHAnsi"/>
          <w:kern w:val="0"/>
          <w:szCs w:val="21"/>
          <w:highlight w:val="none"/>
          <w:lang w:val="en-US" w:eastAsia="zh-CN"/>
        </w:rPr>
        <w:t>申请报备；</w:t>
      </w:r>
      <w:bookmarkStart w:id="0" w:name="_GoBack"/>
      <w:bookmarkEnd w:id="0"/>
    </w:p>
    <w:p w14:paraId="5CA272CD">
      <w:pPr>
        <w:pStyle w:val="19"/>
        <w:numPr>
          <w:ilvl w:val="0"/>
          <w:numId w:val="5"/>
        </w:numPr>
        <w:spacing w:line="360" w:lineRule="auto"/>
        <w:ind w:firstLineChars="0"/>
        <w:jc w:val="left"/>
        <w:rPr>
          <w:rFonts w:hint="default" w:ascii="Calibri" w:hAnsi="Calibri" w:cs="Calibri"/>
          <w:szCs w:val="21"/>
          <w:lang w:val="en-US" w:eastAsia="zh-CN"/>
        </w:rPr>
      </w:pPr>
      <w:r>
        <w:rPr>
          <w:rFonts w:hint="eastAsia" w:ascii="宋体" w:hAnsi="宋体" w:cs="宋体"/>
          <w:kern w:val="0"/>
          <w:szCs w:val="21"/>
          <w:lang w:val="en-US" w:eastAsia="zh-CN"/>
        </w:rPr>
        <w:t>项目咨询：唐</w:t>
      </w:r>
      <w:r>
        <w:rPr>
          <w:rFonts w:hint="eastAsia" w:ascii="Calibri" w:hAnsi="Calibri" w:cs="Calibri"/>
          <w:szCs w:val="21"/>
          <w:lang w:val="en-US" w:eastAsia="zh-CN"/>
        </w:rPr>
        <w:t>老师17372209659（微信同号）</w:t>
      </w:r>
    </w:p>
    <w:p w14:paraId="4A4E7C37">
      <w:pPr>
        <w:pStyle w:val="19"/>
        <w:widowControl w:val="0"/>
        <w:numPr>
          <w:ilvl w:val="0"/>
          <w:numId w:val="0"/>
        </w:numPr>
        <w:spacing w:line="360" w:lineRule="auto"/>
        <w:jc w:val="left"/>
        <w:rPr>
          <w:rFonts w:hint="eastAsia" w:ascii="Calibri" w:hAnsi="Calibri" w:cs="Calibri"/>
          <w:szCs w:val="21"/>
          <w:lang w:val="en-US" w:eastAsia="zh-CN"/>
        </w:rPr>
      </w:pPr>
    </w:p>
    <w:p w14:paraId="33A09665">
      <w:pPr>
        <w:pStyle w:val="19"/>
        <w:widowControl w:val="0"/>
        <w:numPr>
          <w:ilvl w:val="0"/>
          <w:numId w:val="0"/>
        </w:numPr>
        <w:spacing w:line="360" w:lineRule="auto"/>
        <w:jc w:val="left"/>
        <w:rPr>
          <w:rFonts w:hint="eastAsia" w:ascii="Calibri" w:hAnsi="Calibri" w:cs="Calibri"/>
          <w:szCs w:val="21"/>
          <w:lang w:val="en-US" w:eastAsia="zh-CN"/>
        </w:rPr>
      </w:pPr>
    </w:p>
    <w:p w14:paraId="708258D0">
      <w:pPr>
        <w:pStyle w:val="19"/>
        <w:widowControl w:val="0"/>
        <w:numPr>
          <w:ilvl w:val="0"/>
          <w:numId w:val="0"/>
        </w:numPr>
        <w:spacing w:line="360" w:lineRule="auto"/>
        <w:jc w:val="left"/>
        <w:rPr>
          <w:rFonts w:hint="eastAsia" w:ascii="Calibri" w:hAnsi="Calibri" w:cs="Calibri"/>
          <w:szCs w:val="21"/>
          <w:lang w:val="en-US" w:eastAsia="zh-CN"/>
        </w:rPr>
      </w:pPr>
    </w:p>
    <w:p w14:paraId="2F4A7054">
      <w:pPr>
        <w:pStyle w:val="19"/>
        <w:widowControl w:val="0"/>
        <w:numPr>
          <w:ilvl w:val="0"/>
          <w:numId w:val="0"/>
        </w:numPr>
        <w:spacing w:line="360" w:lineRule="auto"/>
        <w:jc w:val="left"/>
        <w:rPr>
          <w:rFonts w:hint="eastAsia" w:ascii="Calibri" w:hAnsi="Calibri" w:cs="Calibri"/>
          <w:szCs w:val="21"/>
          <w:lang w:val="en-US" w:eastAsia="zh-CN"/>
        </w:rPr>
      </w:pPr>
    </w:p>
    <w:p w14:paraId="26212732">
      <w:pPr>
        <w:numPr>
          <w:ilvl w:val="0"/>
          <w:numId w:val="0"/>
        </w:numPr>
        <w:jc w:val="center"/>
        <w:rPr>
          <w:rFonts w:hint="default"/>
          <w:b/>
          <w:bCs/>
          <w:sz w:val="22"/>
          <w:szCs w:val="28"/>
          <w:lang w:val="en-US"/>
        </w:rPr>
      </w:pPr>
      <w:r>
        <w:rPr>
          <w:rFonts w:hint="eastAsia" w:ascii="Calibri" w:hAnsi="Calibri" w:cs="Calibri"/>
          <w:b/>
          <w:bCs/>
          <w:sz w:val="22"/>
          <w:szCs w:val="22"/>
          <w:lang w:val="en-US" w:eastAsia="zh-CN"/>
        </w:rPr>
        <w:t>附录：伦敦政治经济学院暑期课程列表</w:t>
      </w:r>
    </w:p>
    <w:p w14:paraId="45414543">
      <w:pPr>
        <w:numPr>
          <w:ilvl w:val="0"/>
          <w:numId w:val="6"/>
        </w:numPr>
        <w:rPr>
          <w:rFonts w:hint="default"/>
        </w:rPr>
      </w:pPr>
      <w:r>
        <w:t>Accounting</w:t>
      </w:r>
      <w:r>
        <w:rPr>
          <w:rFonts w:hint="default"/>
        </w:rPr>
        <w:t>：会计学</w:t>
      </w:r>
    </w:p>
    <w:tbl>
      <w:tblPr>
        <w:tblStyle w:val="11"/>
        <w:tblW w:w="8521" w:type="dxa"/>
        <w:jc w:val="center"/>
        <w:tblBorders>
          <w:top w:val="none" w:color="auto" w:sz="0" w:space="0"/>
          <w:left w:val="single" w:color="auto" w:sz="2" w:space="0"/>
          <w:bottom w:val="single" w:color="auto" w:sz="2" w:space="0"/>
          <w:right w:val="single" w:color="auto" w:sz="2"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1059"/>
        <w:gridCol w:w="4780"/>
        <w:gridCol w:w="2682"/>
      </w:tblGrid>
      <w:tr w14:paraId="347CB3FD">
        <w:tblPrEx>
          <w:tblBorders>
            <w:top w:val="none" w:color="auto" w:sz="0" w:space="0"/>
            <w:left w:val="single" w:color="auto" w:sz="2" w:space="0"/>
            <w:bottom w:val="single" w:color="auto" w:sz="2" w:space="0"/>
            <w:right w:val="single" w:color="auto" w:sz="2"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tblHeader/>
          <w:jc w:val="center"/>
        </w:trPr>
        <w:tc>
          <w:tcPr>
            <w:tcW w:w="1059" w:type="dxa"/>
            <w:tcBorders>
              <w:top w:val="single" w:color="auto" w:sz="4" w:space="0"/>
              <w:left w:val="single" w:color="auto" w:sz="4" w:space="0"/>
              <w:bottom w:val="single" w:color="auto" w:sz="4" w:space="0"/>
              <w:right w:val="single" w:color="auto" w:sz="4" w:space="0"/>
            </w:tcBorders>
            <w:shd w:val="clear" w:color="auto" w:fill="F2F2F2"/>
            <w:noWrap w:val="0"/>
            <w:tcMar>
              <w:top w:w="90" w:type="dxa"/>
              <w:left w:w="135" w:type="dxa"/>
              <w:bottom w:w="90" w:type="dxa"/>
              <w:right w:w="135" w:type="dxa"/>
            </w:tcMar>
            <w:vAlign w:val="center"/>
          </w:tcPr>
          <w:p w14:paraId="53A93F55">
            <w:pPr>
              <w:widowControl w:val="0"/>
              <w:numPr>
                <w:ilvl w:val="0"/>
                <w:numId w:val="0"/>
              </w:numPr>
              <w:snapToGrid w:val="0"/>
              <w:ind w:left="0" w:leftChars="0" w:right="0" w:rightChars="0" w:firstLine="0" w:firstLineChars="0"/>
              <w:jc w:val="center"/>
              <w:rPr>
                <w:rFonts w:hint="default" w:ascii="Calibri" w:hAnsi="Calibri" w:eastAsia="宋体" w:cs="Times New Roman"/>
                <w:b/>
                <w:kern w:val="2"/>
                <w:sz w:val="21"/>
                <w:szCs w:val="24"/>
                <w:lang w:val="en-US" w:eastAsia="zh-CN" w:bidi="ar-SA"/>
              </w:rPr>
            </w:pPr>
            <w:r>
              <w:rPr>
                <w:rFonts w:hint="default" w:ascii="Calibri" w:hAnsi="Calibri" w:eastAsia="宋体" w:cs="Times New Roman"/>
                <w:b/>
                <w:kern w:val="2"/>
                <w:sz w:val="21"/>
                <w:szCs w:val="24"/>
                <w:lang w:val="en-US" w:eastAsia="zh-CN" w:bidi="ar-SA"/>
              </w:rPr>
              <w:t>课程代码</w:t>
            </w:r>
          </w:p>
        </w:tc>
        <w:tc>
          <w:tcPr>
            <w:tcW w:w="4780" w:type="dxa"/>
            <w:tcBorders>
              <w:top w:val="single" w:color="auto" w:sz="4" w:space="0"/>
              <w:left w:val="single" w:color="auto" w:sz="4" w:space="0"/>
              <w:bottom w:val="single" w:color="auto" w:sz="4" w:space="0"/>
              <w:right w:val="single" w:color="auto" w:sz="4" w:space="0"/>
            </w:tcBorders>
            <w:shd w:val="clear" w:color="auto" w:fill="F2F2F2"/>
            <w:noWrap w:val="0"/>
            <w:tcMar>
              <w:top w:w="90" w:type="dxa"/>
              <w:left w:w="135" w:type="dxa"/>
              <w:bottom w:w="90" w:type="dxa"/>
              <w:right w:w="135" w:type="dxa"/>
            </w:tcMar>
            <w:vAlign w:val="center"/>
          </w:tcPr>
          <w:p w14:paraId="5214E564">
            <w:pPr>
              <w:widowControl w:val="0"/>
              <w:numPr>
                <w:ilvl w:val="0"/>
                <w:numId w:val="0"/>
              </w:numPr>
              <w:snapToGrid w:val="0"/>
              <w:ind w:left="0" w:leftChars="0" w:right="0" w:rightChars="0" w:firstLine="0" w:firstLineChars="0"/>
              <w:jc w:val="center"/>
              <w:rPr>
                <w:rFonts w:hint="default" w:ascii="Calibri" w:hAnsi="Calibri" w:eastAsia="宋体" w:cs="Times New Roman"/>
                <w:b/>
                <w:kern w:val="2"/>
                <w:sz w:val="21"/>
                <w:szCs w:val="24"/>
                <w:lang w:val="en-US" w:eastAsia="zh-CN" w:bidi="ar-SA"/>
              </w:rPr>
            </w:pPr>
            <w:r>
              <w:rPr>
                <w:rFonts w:hint="default" w:ascii="Calibri" w:hAnsi="Calibri" w:eastAsia="宋体" w:cs="Times New Roman"/>
                <w:b/>
                <w:kern w:val="2"/>
                <w:sz w:val="21"/>
                <w:szCs w:val="24"/>
                <w:lang w:val="en-US" w:eastAsia="zh-CN" w:bidi="ar-SA"/>
              </w:rPr>
              <w:t>课程英文名称</w:t>
            </w:r>
          </w:p>
        </w:tc>
        <w:tc>
          <w:tcPr>
            <w:tcW w:w="2682" w:type="dxa"/>
            <w:tcBorders>
              <w:top w:val="single" w:color="auto" w:sz="4" w:space="0"/>
              <w:left w:val="single" w:color="auto" w:sz="4" w:space="0"/>
              <w:bottom w:val="single" w:color="auto" w:sz="4" w:space="0"/>
              <w:right w:val="single" w:color="auto" w:sz="4" w:space="0"/>
            </w:tcBorders>
            <w:shd w:val="clear" w:color="auto" w:fill="F2F2F2"/>
            <w:noWrap w:val="0"/>
            <w:tcMar>
              <w:top w:w="90" w:type="dxa"/>
              <w:left w:w="135" w:type="dxa"/>
              <w:bottom w:w="90" w:type="dxa"/>
              <w:right w:w="135" w:type="dxa"/>
            </w:tcMar>
            <w:vAlign w:val="center"/>
          </w:tcPr>
          <w:p w14:paraId="2FB5E652">
            <w:pPr>
              <w:widowControl w:val="0"/>
              <w:numPr>
                <w:ilvl w:val="0"/>
                <w:numId w:val="0"/>
              </w:numPr>
              <w:snapToGrid w:val="0"/>
              <w:ind w:left="0" w:leftChars="0" w:right="0" w:rightChars="0" w:firstLine="0" w:firstLineChars="0"/>
              <w:jc w:val="center"/>
              <w:rPr>
                <w:rFonts w:hint="default" w:ascii="Calibri" w:hAnsi="Calibri" w:eastAsia="宋体" w:cs="Times New Roman"/>
                <w:b/>
                <w:kern w:val="2"/>
                <w:sz w:val="21"/>
                <w:szCs w:val="24"/>
                <w:lang w:val="en-US" w:eastAsia="zh-CN" w:bidi="ar-SA"/>
              </w:rPr>
            </w:pPr>
            <w:r>
              <w:rPr>
                <w:rFonts w:hint="default" w:ascii="Calibri" w:hAnsi="Calibri" w:eastAsia="宋体" w:cs="Times New Roman"/>
                <w:b/>
                <w:kern w:val="2"/>
                <w:sz w:val="21"/>
                <w:szCs w:val="24"/>
                <w:lang w:val="en-US" w:eastAsia="zh-CN" w:bidi="ar-SA"/>
              </w:rPr>
              <w:t>课程中文名称</w:t>
            </w:r>
          </w:p>
        </w:tc>
      </w:tr>
      <w:tr w14:paraId="70A71869">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1059"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0980EEA6">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AC101</w:t>
            </w:r>
          </w:p>
        </w:tc>
        <w:tc>
          <w:tcPr>
            <w:tcW w:w="4780"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7D9FDA77">
            <w:pPr>
              <w:widowControl w:val="0"/>
              <w:numPr>
                <w:ilvl w:val="0"/>
                <w:numId w:val="0"/>
              </w:numPr>
              <w:snapToGrid w:val="0"/>
              <w:ind w:left="0" w:leftChars="0" w:right="0" w:rightChars="0" w:firstLine="0" w:firstLineChars="0"/>
              <w:jc w:val="left"/>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Management Accounting and Data-Driven Decision Making</w:t>
            </w:r>
          </w:p>
        </w:tc>
        <w:tc>
          <w:tcPr>
            <w:tcW w:w="2682"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62F858BF">
            <w:pPr>
              <w:widowControl w:val="0"/>
              <w:numPr>
                <w:ilvl w:val="0"/>
                <w:numId w:val="0"/>
              </w:numPr>
              <w:snapToGrid w:val="0"/>
              <w:ind w:left="0" w:leftChars="0" w:right="0" w:rightChars="0" w:firstLine="0" w:firstLineChars="0"/>
              <w:jc w:val="left"/>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管理会计与数据驱动决策</w:t>
            </w:r>
          </w:p>
        </w:tc>
      </w:tr>
      <w:tr w14:paraId="47E36F7E">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1059"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21302802">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AC110</w:t>
            </w:r>
          </w:p>
        </w:tc>
        <w:tc>
          <w:tcPr>
            <w:tcW w:w="4780"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0E50DB6D">
            <w:pPr>
              <w:widowControl w:val="0"/>
              <w:numPr>
                <w:ilvl w:val="0"/>
                <w:numId w:val="0"/>
              </w:numPr>
              <w:snapToGrid w:val="0"/>
              <w:ind w:left="0" w:leftChars="0" w:right="0" w:rightChars="0" w:firstLine="0" w:firstLineChars="0"/>
              <w:jc w:val="left"/>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Principles of Accounting</w:t>
            </w:r>
          </w:p>
        </w:tc>
        <w:tc>
          <w:tcPr>
            <w:tcW w:w="2682"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440C94F8">
            <w:pPr>
              <w:widowControl w:val="0"/>
              <w:numPr>
                <w:ilvl w:val="0"/>
                <w:numId w:val="0"/>
              </w:numPr>
              <w:snapToGrid w:val="0"/>
              <w:ind w:left="0" w:leftChars="0" w:right="0" w:rightChars="0" w:firstLine="0" w:firstLineChars="0"/>
              <w:jc w:val="left"/>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会计学原理</w:t>
            </w:r>
          </w:p>
        </w:tc>
      </w:tr>
      <w:tr w14:paraId="24FA9D85">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1059"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6933C8BF">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AC200</w:t>
            </w:r>
          </w:p>
        </w:tc>
        <w:tc>
          <w:tcPr>
            <w:tcW w:w="4780"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3C0B2504">
            <w:pPr>
              <w:widowControl w:val="0"/>
              <w:numPr>
                <w:ilvl w:val="0"/>
                <w:numId w:val="0"/>
              </w:numPr>
              <w:snapToGrid w:val="0"/>
              <w:ind w:left="0" w:leftChars="0" w:right="0" w:rightChars="0" w:firstLine="0" w:firstLineChars="0"/>
              <w:jc w:val="left"/>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Sustainability Reporting in Capital Markets</w:t>
            </w:r>
          </w:p>
        </w:tc>
        <w:tc>
          <w:tcPr>
            <w:tcW w:w="2682"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550C4F0E">
            <w:pPr>
              <w:widowControl w:val="0"/>
              <w:numPr>
                <w:ilvl w:val="0"/>
                <w:numId w:val="0"/>
              </w:numPr>
              <w:snapToGrid w:val="0"/>
              <w:ind w:left="0" w:leftChars="0" w:right="0" w:rightChars="0" w:firstLine="0" w:firstLineChars="0"/>
              <w:jc w:val="left"/>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资本市场中的可持续发展报告</w:t>
            </w:r>
          </w:p>
        </w:tc>
      </w:tr>
      <w:tr w14:paraId="4D018646">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1059"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4B4B65DD">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AC202</w:t>
            </w:r>
          </w:p>
        </w:tc>
        <w:tc>
          <w:tcPr>
            <w:tcW w:w="4780"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1C9D592E">
            <w:pPr>
              <w:widowControl w:val="0"/>
              <w:numPr>
                <w:ilvl w:val="0"/>
                <w:numId w:val="0"/>
              </w:numPr>
              <w:snapToGrid w:val="0"/>
              <w:ind w:left="0" w:leftChars="0" w:right="0" w:rightChars="0" w:firstLine="0" w:firstLineChars="0"/>
              <w:jc w:val="left"/>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Corporate Fraud and Accountability: Principles and Practices</w:t>
            </w:r>
          </w:p>
        </w:tc>
        <w:tc>
          <w:tcPr>
            <w:tcW w:w="2682"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2E067F20">
            <w:pPr>
              <w:widowControl w:val="0"/>
              <w:numPr>
                <w:ilvl w:val="0"/>
                <w:numId w:val="0"/>
              </w:numPr>
              <w:snapToGrid w:val="0"/>
              <w:ind w:left="0" w:leftChars="0" w:right="0" w:rightChars="0" w:firstLine="0" w:firstLineChars="0"/>
              <w:jc w:val="left"/>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企业舞弊与问责：原则与实践</w:t>
            </w:r>
          </w:p>
        </w:tc>
      </w:tr>
      <w:tr w14:paraId="385C1556">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1059"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58904338">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AC210</w:t>
            </w:r>
          </w:p>
        </w:tc>
        <w:tc>
          <w:tcPr>
            <w:tcW w:w="4780"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45E6513D">
            <w:pPr>
              <w:widowControl w:val="0"/>
              <w:numPr>
                <w:ilvl w:val="0"/>
                <w:numId w:val="0"/>
              </w:numPr>
              <w:snapToGrid w:val="0"/>
              <w:ind w:left="0" w:leftChars="0" w:right="0" w:rightChars="0" w:firstLine="0" w:firstLineChars="0"/>
              <w:jc w:val="left"/>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Financial Statement Analysis for Investment Banking and Asset Management</w:t>
            </w:r>
          </w:p>
        </w:tc>
        <w:tc>
          <w:tcPr>
            <w:tcW w:w="2682"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5A7DD517">
            <w:pPr>
              <w:widowControl w:val="0"/>
              <w:numPr>
                <w:ilvl w:val="0"/>
                <w:numId w:val="0"/>
              </w:numPr>
              <w:snapToGrid w:val="0"/>
              <w:ind w:left="0" w:leftChars="0" w:right="0" w:rightChars="0" w:firstLine="0" w:firstLineChars="0"/>
              <w:jc w:val="left"/>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投资银行与资产管理中的财务报表分析</w:t>
            </w:r>
          </w:p>
        </w:tc>
      </w:tr>
      <w:tr w14:paraId="0E2A810C">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1059"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7FDDA754">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AC215</w:t>
            </w:r>
          </w:p>
        </w:tc>
        <w:tc>
          <w:tcPr>
            <w:tcW w:w="4780"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0DAB8BF6">
            <w:pPr>
              <w:widowControl w:val="0"/>
              <w:numPr>
                <w:ilvl w:val="0"/>
                <w:numId w:val="0"/>
              </w:numPr>
              <w:snapToGrid w:val="0"/>
              <w:ind w:left="0" w:leftChars="0" w:right="0" w:rightChars="0" w:firstLine="0" w:firstLineChars="0"/>
              <w:jc w:val="left"/>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Business Analysis and Valuation</w:t>
            </w:r>
          </w:p>
        </w:tc>
        <w:tc>
          <w:tcPr>
            <w:tcW w:w="2682"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0AFC695D">
            <w:pPr>
              <w:widowControl w:val="0"/>
              <w:numPr>
                <w:ilvl w:val="0"/>
                <w:numId w:val="0"/>
              </w:numPr>
              <w:snapToGrid w:val="0"/>
              <w:ind w:left="0" w:leftChars="0" w:right="0" w:rightChars="0" w:firstLine="0" w:firstLineChars="0"/>
              <w:jc w:val="left"/>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商业分析与估值</w:t>
            </w:r>
          </w:p>
        </w:tc>
      </w:tr>
    </w:tbl>
    <w:p w14:paraId="7C8060E2">
      <w:pPr>
        <w:numPr>
          <w:ilvl w:val="0"/>
          <w:numId w:val="0"/>
        </w:numPr>
        <w:ind w:leftChars="0"/>
        <w:rPr>
          <w:rFonts w:hint="default"/>
        </w:rPr>
      </w:pPr>
    </w:p>
    <w:p w14:paraId="38D44525">
      <w:pPr>
        <w:numPr>
          <w:ilvl w:val="0"/>
          <w:numId w:val="6"/>
        </w:numPr>
        <w:ind w:left="0" w:leftChars="0" w:firstLine="0" w:firstLineChars="0"/>
        <w:rPr>
          <w:rFonts w:hint="default"/>
        </w:rPr>
      </w:pPr>
      <w:r>
        <w:rPr>
          <w:rFonts w:hint="default"/>
        </w:rPr>
        <w:t>Business and Management：商学与管理学</w:t>
      </w:r>
    </w:p>
    <w:tbl>
      <w:tblPr>
        <w:tblStyle w:val="11"/>
        <w:tblW w:w="8521" w:type="dxa"/>
        <w:jc w:val="center"/>
        <w:tblBorders>
          <w:top w:val="none" w:color="auto" w:sz="0" w:space="0"/>
          <w:left w:val="single" w:color="auto" w:sz="2" w:space="0"/>
          <w:bottom w:val="single" w:color="auto" w:sz="2" w:space="0"/>
          <w:right w:val="single" w:color="auto" w:sz="2"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902"/>
        <w:gridCol w:w="5048"/>
        <w:gridCol w:w="2571"/>
      </w:tblGrid>
      <w:tr w14:paraId="78648049">
        <w:tblPrEx>
          <w:tblBorders>
            <w:top w:val="none" w:color="auto" w:sz="0" w:space="0"/>
            <w:left w:val="single" w:color="auto" w:sz="2" w:space="0"/>
            <w:bottom w:val="single" w:color="auto" w:sz="2" w:space="0"/>
            <w:right w:val="single" w:color="auto" w:sz="2"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tblHeader/>
          <w:jc w:val="center"/>
        </w:trPr>
        <w:tc>
          <w:tcPr>
            <w:tcW w:w="902" w:type="dxa"/>
            <w:tcBorders>
              <w:top w:val="single" w:color="auto" w:sz="4" w:space="0"/>
              <w:left w:val="single" w:color="auto" w:sz="4" w:space="0"/>
              <w:bottom w:val="single" w:color="auto" w:sz="4" w:space="0"/>
              <w:right w:val="single" w:color="auto" w:sz="4" w:space="0"/>
            </w:tcBorders>
            <w:shd w:val="clear" w:color="auto" w:fill="F2F2F2"/>
            <w:noWrap w:val="0"/>
            <w:tcMar>
              <w:top w:w="90" w:type="dxa"/>
              <w:left w:w="135" w:type="dxa"/>
              <w:bottom w:w="90" w:type="dxa"/>
              <w:right w:w="135" w:type="dxa"/>
            </w:tcMar>
            <w:vAlign w:val="center"/>
          </w:tcPr>
          <w:p w14:paraId="2B120F3F">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课程代码</w:t>
            </w:r>
          </w:p>
        </w:tc>
        <w:tc>
          <w:tcPr>
            <w:tcW w:w="5048" w:type="dxa"/>
            <w:tcBorders>
              <w:top w:val="single" w:color="auto" w:sz="4" w:space="0"/>
              <w:left w:val="single" w:color="auto" w:sz="4" w:space="0"/>
              <w:bottom w:val="single" w:color="auto" w:sz="4" w:space="0"/>
              <w:right w:val="single" w:color="auto" w:sz="4" w:space="0"/>
            </w:tcBorders>
            <w:shd w:val="clear" w:color="auto" w:fill="F2F2F2"/>
            <w:noWrap w:val="0"/>
            <w:tcMar>
              <w:top w:w="90" w:type="dxa"/>
              <w:left w:w="135" w:type="dxa"/>
              <w:bottom w:w="90" w:type="dxa"/>
              <w:right w:w="135" w:type="dxa"/>
            </w:tcMar>
            <w:vAlign w:val="center"/>
          </w:tcPr>
          <w:p w14:paraId="2B9B1C7A">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课程英文名称</w:t>
            </w:r>
          </w:p>
        </w:tc>
        <w:tc>
          <w:tcPr>
            <w:tcW w:w="2571" w:type="dxa"/>
            <w:tcBorders>
              <w:top w:val="single" w:color="auto" w:sz="4" w:space="0"/>
              <w:left w:val="single" w:color="auto" w:sz="4" w:space="0"/>
              <w:bottom w:val="single" w:color="auto" w:sz="4" w:space="0"/>
              <w:right w:val="single" w:color="auto" w:sz="4" w:space="0"/>
            </w:tcBorders>
            <w:shd w:val="clear" w:color="auto" w:fill="F2F2F2"/>
            <w:noWrap w:val="0"/>
            <w:tcMar>
              <w:top w:w="90" w:type="dxa"/>
              <w:left w:w="135" w:type="dxa"/>
              <w:bottom w:w="90" w:type="dxa"/>
              <w:right w:w="135" w:type="dxa"/>
            </w:tcMar>
            <w:vAlign w:val="center"/>
          </w:tcPr>
          <w:p w14:paraId="16BD621A">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课程中文名称</w:t>
            </w:r>
          </w:p>
        </w:tc>
      </w:tr>
      <w:tr w14:paraId="20A26E6D">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902"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43DB59BE">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MG101</w:t>
            </w:r>
          </w:p>
        </w:tc>
        <w:tc>
          <w:tcPr>
            <w:tcW w:w="5048"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6E8FF381">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Marketing</w:t>
            </w:r>
          </w:p>
        </w:tc>
        <w:tc>
          <w:tcPr>
            <w:tcW w:w="2571"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7D5B6E53">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市场营销</w:t>
            </w:r>
          </w:p>
        </w:tc>
      </w:tr>
      <w:tr w14:paraId="477378E9">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902"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6360DD7F">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MG103</w:t>
            </w:r>
          </w:p>
        </w:tc>
        <w:tc>
          <w:tcPr>
            <w:tcW w:w="5048"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6284020A">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Consumer Behaviour: Behavioural Fundamentals for Marketing and Management</w:t>
            </w:r>
          </w:p>
        </w:tc>
        <w:tc>
          <w:tcPr>
            <w:tcW w:w="2571"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26B47FBB">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消费者行为：营销与管理的行为基础</w:t>
            </w:r>
          </w:p>
        </w:tc>
      </w:tr>
      <w:tr w14:paraId="4F442D67">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902"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30CFA9A3">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MG106</w:t>
            </w:r>
          </w:p>
        </w:tc>
        <w:tc>
          <w:tcPr>
            <w:tcW w:w="5048"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03826F42">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Strategic Management</w:t>
            </w:r>
          </w:p>
        </w:tc>
        <w:tc>
          <w:tcPr>
            <w:tcW w:w="2571"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114D1A8F">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战略管理</w:t>
            </w:r>
          </w:p>
        </w:tc>
      </w:tr>
      <w:tr w14:paraId="2A602F93">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902"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582E7E51">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MG107</w:t>
            </w:r>
          </w:p>
        </w:tc>
        <w:tc>
          <w:tcPr>
            <w:tcW w:w="5048"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38C87F2C">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Management Analytics in the Age of Big Data</w:t>
            </w:r>
          </w:p>
        </w:tc>
        <w:tc>
          <w:tcPr>
            <w:tcW w:w="2571"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656E7A95">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大数据时代的管理分析</w:t>
            </w:r>
          </w:p>
        </w:tc>
      </w:tr>
      <w:tr w14:paraId="6E67CD1E">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902"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6471D04E">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MG110</w:t>
            </w:r>
          </w:p>
        </w:tc>
        <w:tc>
          <w:tcPr>
            <w:tcW w:w="5048"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016C3593">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The Science and Art of Decision Making</w:t>
            </w:r>
          </w:p>
        </w:tc>
        <w:tc>
          <w:tcPr>
            <w:tcW w:w="2571"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39A4613B">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决策的科学与艺术</w:t>
            </w:r>
          </w:p>
        </w:tc>
      </w:tr>
      <w:tr w14:paraId="0C63D8C0">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902"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0B46C7A5">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MG111</w:t>
            </w:r>
          </w:p>
        </w:tc>
        <w:tc>
          <w:tcPr>
            <w:tcW w:w="5048"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6508A012">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AI for Business: Management, Strategy and Governance</w:t>
            </w:r>
          </w:p>
        </w:tc>
        <w:tc>
          <w:tcPr>
            <w:tcW w:w="2571"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763CFB47">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商业人工智能：管理、战略与治理</w:t>
            </w:r>
          </w:p>
        </w:tc>
      </w:tr>
      <w:tr w14:paraId="5A843AEF">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902"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57D148D1">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MG114</w:t>
            </w:r>
          </w:p>
        </w:tc>
        <w:tc>
          <w:tcPr>
            <w:tcW w:w="5048"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1FB488DB">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HRM and The Future of Work: Adapting to Change</w:t>
            </w:r>
          </w:p>
        </w:tc>
        <w:tc>
          <w:tcPr>
            <w:tcW w:w="2571"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63A1663E">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人力资源管理与未来工作：适应变革</w:t>
            </w:r>
          </w:p>
        </w:tc>
      </w:tr>
      <w:tr w14:paraId="16C4DBFF">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902"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6FD36284">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MG130</w:t>
            </w:r>
          </w:p>
        </w:tc>
        <w:tc>
          <w:tcPr>
            <w:tcW w:w="5048"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37A88A35">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Management of Organisations</w:t>
            </w:r>
          </w:p>
        </w:tc>
        <w:tc>
          <w:tcPr>
            <w:tcW w:w="2571"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3443D5E8">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组织管理</w:t>
            </w:r>
          </w:p>
        </w:tc>
      </w:tr>
      <w:tr w14:paraId="19A48246">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902"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5DF09A6E">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MG133</w:t>
            </w:r>
          </w:p>
        </w:tc>
        <w:tc>
          <w:tcPr>
            <w:tcW w:w="5048"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2FF37373">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Power, Status and Conflict in Organisations</w:t>
            </w:r>
          </w:p>
        </w:tc>
        <w:tc>
          <w:tcPr>
            <w:tcW w:w="2571"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28049E6F">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组织中的权力、地位与冲突</w:t>
            </w:r>
          </w:p>
        </w:tc>
      </w:tr>
      <w:tr w14:paraId="67ED50C1">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902"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65B40CCD">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MG200</w:t>
            </w:r>
          </w:p>
        </w:tc>
        <w:tc>
          <w:tcPr>
            <w:tcW w:w="5048"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53119167">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Leading Organisational Change in the Age of Generative AI</w:t>
            </w:r>
          </w:p>
        </w:tc>
        <w:tc>
          <w:tcPr>
            <w:tcW w:w="2571"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4855BAD5">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生成式 AI 时代的组织变革领导力</w:t>
            </w:r>
          </w:p>
        </w:tc>
      </w:tr>
      <w:tr w14:paraId="121839F1">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902"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72D1C7B7">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MG201</w:t>
            </w:r>
          </w:p>
        </w:tc>
        <w:tc>
          <w:tcPr>
            <w:tcW w:w="5048"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5DECDFCC">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Brand Strategy</w:t>
            </w:r>
          </w:p>
        </w:tc>
        <w:tc>
          <w:tcPr>
            <w:tcW w:w="2571"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5B53E0B5">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品牌战略</w:t>
            </w:r>
          </w:p>
        </w:tc>
      </w:tr>
      <w:tr w14:paraId="34586D6D">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902"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65D2BF02">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MG203</w:t>
            </w:r>
          </w:p>
        </w:tc>
        <w:tc>
          <w:tcPr>
            <w:tcW w:w="5048"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3E8B570F">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Industrial Policy: Leading the Green and Digital Transitions</w:t>
            </w:r>
          </w:p>
        </w:tc>
        <w:tc>
          <w:tcPr>
            <w:tcW w:w="2571"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7C8D7A8C">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产业政策：引领绿色与数字转型</w:t>
            </w:r>
          </w:p>
        </w:tc>
      </w:tr>
      <w:tr w14:paraId="6DAE9CF6">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902"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313C630D">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MG204</w:t>
            </w:r>
          </w:p>
        </w:tc>
        <w:tc>
          <w:tcPr>
            <w:tcW w:w="5048"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69979FB7">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Leadership in Organisations</w:t>
            </w:r>
          </w:p>
        </w:tc>
        <w:tc>
          <w:tcPr>
            <w:tcW w:w="2571"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70248C1D">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组织领导力</w:t>
            </w:r>
          </w:p>
        </w:tc>
      </w:tr>
      <w:tr w14:paraId="3FCBE07C">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902"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281A607D">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MG206</w:t>
            </w:r>
          </w:p>
        </w:tc>
        <w:tc>
          <w:tcPr>
            <w:tcW w:w="5048"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7B5FD1BA">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Business Strategy in International and Emerging Markets</w:t>
            </w:r>
          </w:p>
        </w:tc>
        <w:tc>
          <w:tcPr>
            <w:tcW w:w="2571"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0110267E">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国际与新兴市场的商业战略</w:t>
            </w:r>
          </w:p>
        </w:tc>
      </w:tr>
      <w:tr w14:paraId="29FBF47F">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902"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5ECEA4CE">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MG209</w:t>
            </w:r>
          </w:p>
        </w:tc>
        <w:tc>
          <w:tcPr>
            <w:tcW w:w="5048"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5042DF90">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Bargaining and Negotiation: Interests, Information, Strategy and Power</w:t>
            </w:r>
          </w:p>
        </w:tc>
        <w:tc>
          <w:tcPr>
            <w:tcW w:w="2571"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67B5C83C">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谈判与协商：利益、信息、战略与权力</w:t>
            </w:r>
          </w:p>
        </w:tc>
      </w:tr>
      <w:tr w14:paraId="08D7E63C">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902"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314914F3">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MG250</w:t>
            </w:r>
          </w:p>
        </w:tc>
        <w:tc>
          <w:tcPr>
            <w:tcW w:w="5048"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357ADC76">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Management and Economics of Digital Innovation</w:t>
            </w:r>
          </w:p>
        </w:tc>
        <w:tc>
          <w:tcPr>
            <w:tcW w:w="2571"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0389396C">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数字创新的管理与经济学</w:t>
            </w:r>
          </w:p>
        </w:tc>
      </w:tr>
    </w:tbl>
    <w:p w14:paraId="5B129125">
      <w:pPr>
        <w:widowControl w:val="0"/>
        <w:numPr>
          <w:ilvl w:val="0"/>
          <w:numId w:val="0"/>
        </w:numPr>
        <w:jc w:val="both"/>
        <w:rPr>
          <w:rFonts w:hint="default"/>
        </w:rPr>
      </w:pPr>
    </w:p>
    <w:p w14:paraId="591AA247">
      <w:pPr>
        <w:numPr>
          <w:ilvl w:val="0"/>
          <w:numId w:val="6"/>
        </w:numPr>
        <w:ind w:left="0" w:leftChars="0" w:firstLine="0" w:firstLineChars="0"/>
        <w:rPr>
          <w:rFonts w:hint="default"/>
        </w:rPr>
      </w:pPr>
      <w:r>
        <w:rPr>
          <w:rFonts w:hint="default"/>
        </w:rPr>
        <w:t>Data Science, AI and Research Methods：数据科学、人工智能与研究方法</w:t>
      </w:r>
    </w:p>
    <w:tbl>
      <w:tblPr>
        <w:tblStyle w:val="11"/>
        <w:tblW w:w="8521" w:type="dxa"/>
        <w:jc w:val="center"/>
        <w:tblBorders>
          <w:top w:val="none" w:color="auto" w:sz="0" w:space="0"/>
          <w:left w:val="single" w:color="auto" w:sz="2" w:space="0"/>
          <w:bottom w:val="single" w:color="auto" w:sz="2" w:space="0"/>
          <w:right w:val="single" w:color="auto" w:sz="2"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872"/>
        <w:gridCol w:w="5001"/>
        <w:gridCol w:w="2648"/>
      </w:tblGrid>
      <w:tr w14:paraId="7C97A8FE">
        <w:tblPrEx>
          <w:tblBorders>
            <w:top w:val="none" w:color="auto" w:sz="0" w:space="0"/>
            <w:left w:val="single" w:color="auto" w:sz="2" w:space="0"/>
            <w:bottom w:val="single" w:color="auto" w:sz="2" w:space="0"/>
            <w:right w:val="single" w:color="auto" w:sz="2"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tblHeader/>
          <w:jc w:val="center"/>
        </w:trPr>
        <w:tc>
          <w:tcPr>
            <w:tcW w:w="872" w:type="dxa"/>
            <w:tcBorders>
              <w:top w:val="single" w:color="auto" w:sz="4" w:space="0"/>
              <w:left w:val="single" w:color="auto" w:sz="4" w:space="0"/>
              <w:bottom w:val="single" w:color="auto" w:sz="4" w:space="0"/>
              <w:right w:val="single" w:color="auto" w:sz="4" w:space="0"/>
            </w:tcBorders>
            <w:shd w:val="clear" w:color="auto" w:fill="F2F2F2"/>
            <w:noWrap w:val="0"/>
            <w:tcMar>
              <w:top w:w="90" w:type="dxa"/>
              <w:left w:w="135" w:type="dxa"/>
              <w:bottom w:w="90" w:type="dxa"/>
              <w:right w:w="135" w:type="dxa"/>
            </w:tcMar>
            <w:vAlign w:val="center"/>
          </w:tcPr>
          <w:p w14:paraId="716FC7C9">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课程代码</w:t>
            </w:r>
          </w:p>
        </w:tc>
        <w:tc>
          <w:tcPr>
            <w:tcW w:w="5001" w:type="dxa"/>
            <w:tcBorders>
              <w:top w:val="single" w:color="auto" w:sz="4" w:space="0"/>
              <w:left w:val="single" w:color="auto" w:sz="4" w:space="0"/>
              <w:bottom w:val="single" w:color="auto" w:sz="4" w:space="0"/>
              <w:right w:val="single" w:color="auto" w:sz="4" w:space="0"/>
            </w:tcBorders>
            <w:shd w:val="clear" w:color="auto" w:fill="F2F2F2"/>
            <w:noWrap w:val="0"/>
            <w:tcMar>
              <w:top w:w="90" w:type="dxa"/>
              <w:left w:w="135" w:type="dxa"/>
              <w:bottom w:w="90" w:type="dxa"/>
              <w:right w:w="135" w:type="dxa"/>
            </w:tcMar>
            <w:vAlign w:val="center"/>
          </w:tcPr>
          <w:p w14:paraId="1BB5AC5D">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课程英文名称</w:t>
            </w:r>
          </w:p>
        </w:tc>
        <w:tc>
          <w:tcPr>
            <w:tcW w:w="2648" w:type="dxa"/>
            <w:tcBorders>
              <w:top w:val="single" w:color="auto" w:sz="4" w:space="0"/>
              <w:left w:val="single" w:color="auto" w:sz="4" w:space="0"/>
              <w:bottom w:val="single" w:color="auto" w:sz="4" w:space="0"/>
              <w:right w:val="single" w:color="auto" w:sz="4" w:space="0"/>
            </w:tcBorders>
            <w:shd w:val="clear" w:color="auto" w:fill="F2F2F2"/>
            <w:noWrap w:val="0"/>
            <w:tcMar>
              <w:top w:w="90" w:type="dxa"/>
              <w:left w:w="135" w:type="dxa"/>
              <w:bottom w:w="90" w:type="dxa"/>
              <w:right w:w="135" w:type="dxa"/>
            </w:tcMar>
            <w:vAlign w:val="center"/>
          </w:tcPr>
          <w:p w14:paraId="338D857B">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课程中文名称</w:t>
            </w:r>
          </w:p>
        </w:tc>
      </w:tr>
      <w:tr w14:paraId="3EC0D1C6">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872"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4A63A5A4">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ME102</w:t>
            </w:r>
          </w:p>
        </w:tc>
        <w:tc>
          <w:tcPr>
            <w:tcW w:w="5001"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604A8F6B">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The Ethics of Data and Artificial Intelligence</w:t>
            </w:r>
          </w:p>
        </w:tc>
        <w:tc>
          <w:tcPr>
            <w:tcW w:w="2648"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21CBD53C">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数据与人工智能伦理</w:t>
            </w:r>
          </w:p>
        </w:tc>
      </w:tr>
      <w:tr w14:paraId="7024D4AE">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tblCellMar>
            <w:top w:w="0" w:type="dxa"/>
            <w:left w:w="0" w:type="dxa"/>
            <w:bottom w:w="0" w:type="dxa"/>
            <w:right w:w="0" w:type="dxa"/>
          </w:tblCellMar>
        </w:tblPrEx>
        <w:trPr>
          <w:trHeight w:val="722" w:hRule="atLeast"/>
          <w:jc w:val="center"/>
        </w:trPr>
        <w:tc>
          <w:tcPr>
            <w:tcW w:w="872"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67DEC415">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ME116</w:t>
            </w:r>
          </w:p>
        </w:tc>
        <w:tc>
          <w:tcPr>
            <w:tcW w:w="5001"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03D4E730">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Introduction to Statistics: Understanding the World through Data</w:t>
            </w:r>
          </w:p>
        </w:tc>
        <w:tc>
          <w:tcPr>
            <w:tcW w:w="2648"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2770DCC9">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统计学导论：通过数据理解世界</w:t>
            </w:r>
          </w:p>
        </w:tc>
      </w:tr>
      <w:tr w14:paraId="63E86E9B">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872"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2C04B477">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ME117</w:t>
            </w:r>
          </w:p>
        </w:tc>
        <w:tc>
          <w:tcPr>
            <w:tcW w:w="5001"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5B0CABF9">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Probability and Statistics for Economics and Econometrics</w:t>
            </w:r>
          </w:p>
        </w:tc>
        <w:tc>
          <w:tcPr>
            <w:tcW w:w="2648"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67DC5D0B">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经济学与计量经济学中的概率与统计</w:t>
            </w:r>
          </w:p>
        </w:tc>
      </w:tr>
      <w:tr w14:paraId="2F52B4D9">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872"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24C37DCC">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ME200</w:t>
            </w:r>
          </w:p>
        </w:tc>
        <w:tc>
          <w:tcPr>
            <w:tcW w:w="5001"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2EA1E5D2">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Computational Methods in Financial Mathematics</w:t>
            </w:r>
          </w:p>
        </w:tc>
        <w:tc>
          <w:tcPr>
            <w:tcW w:w="2648"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3A94031C">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金融数学中的计算方法</w:t>
            </w:r>
          </w:p>
        </w:tc>
      </w:tr>
      <w:tr w14:paraId="38DC3EFE">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872"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68648878">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ME204</w:t>
            </w:r>
          </w:p>
        </w:tc>
        <w:tc>
          <w:tcPr>
            <w:tcW w:w="5001"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5D737DDB">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Data Engineering for the Social World</w:t>
            </w:r>
          </w:p>
        </w:tc>
        <w:tc>
          <w:tcPr>
            <w:tcW w:w="2648"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1D15E8B4">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社会领域的数据工程</w:t>
            </w:r>
          </w:p>
        </w:tc>
      </w:tr>
      <w:tr w14:paraId="760BE800">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872"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61EBA363">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ME206</w:t>
            </w:r>
          </w:p>
        </w:tc>
        <w:tc>
          <w:tcPr>
            <w:tcW w:w="5001"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4E8118C0">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Mastering Strategy with Game Theory</w:t>
            </w:r>
          </w:p>
        </w:tc>
        <w:tc>
          <w:tcPr>
            <w:tcW w:w="2648"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07E1C21F">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用博弈论掌握策略</w:t>
            </w:r>
          </w:p>
        </w:tc>
      </w:tr>
      <w:tr w14:paraId="49C2B5A9">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872"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7FC93FA7">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ME306</w:t>
            </w:r>
          </w:p>
        </w:tc>
        <w:tc>
          <w:tcPr>
            <w:tcW w:w="5001"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2908FDA0">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Real Analysis</w:t>
            </w:r>
          </w:p>
        </w:tc>
        <w:tc>
          <w:tcPr>
            <w:tcW w:w="2648"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52E94F54">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实分析</w:t>
            </w:r>
          </w:p>
        </w:tc>
      </w:tr>
      <w:tr w14:paraId="26765C82">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872"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7874EB32">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ME314</w:t>
            </w:r>
          </w:p>
        </w:tc>
        <w:tc>
          <w:tcPr>
            <w:tcW w:w="5001"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01AF0667">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Introduction to Data Science and Machine Learning</w:t>
            </w:r>
          </w:p>
        </w:tc>
        <w:tc>
          <w:tcPr>
            <w:tcW w:w="2648"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5C084C0C">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数据科学与机器学习导论</w:t>
            </w:r>
          </w:p>
        </w:tc>
      </w:tr>
      <w:tr w14:paraId="160DB703">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872"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6C9F080F">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ME315</w:t>
            </w:r>
          </w:p>
        </w:tc>
        <w:tc>
          <w:tcPr>
            <w:tcW w:w="5001"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00BC442D">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Machine Learning in Practice</w:t>
            </w:r>
          </w:p>
        </w:tc>
        <w:tc>
          <w:tcPr>
            <w:tcW w:w="2648"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2F3F0221">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机器学习实践</w:t>
            </w:r>
          </w:p>
        </w:tc>
      </w:tr>
      <w:tr w14:paraId="62AECA7E">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872"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62477C12">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ME317</w:t>
            </w:r>
          </w:p>
        </w:tc>
        <w:tc>
          <w:tcPr>
            <w:tcW w:w="5001"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3392F2BD">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Statistical Methods for Risk Management</w:t>
            </w:r>
          </w:p>
        </w:tc>
        <w:tc>
          <w:tcPr>
            <w:tcW w:w="2648"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4C7A7A64">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风险管理的统计方法</w:t>
            </w:r>
          </w:p>
        </w:tc>
      </w:tr>
      <w:tr w14:paraId="7476A9BB">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872"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4414E47B">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ME319</w:t>
            </w:r>
          </w:p>
        </w:tc>
        <w:tc>
          <w:tcPr>
            <w:tcW w:w="5001"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75FF2C67">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Machine Learning and Stochastic Simulation: Applications for Finance, Risk Management and Insurance</w:t>
            </w:r>
          </w:p>
        </w:tc>
        <w:tc>
          <w:tcPr>
            <w:tcW w:w="2648"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35AA2B02">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机器学习与随机模拟：金融、风险管理与保险的应用</w:t>
            </w:r>
          </w:p>
        </w:tc>
      </w:tr>
      <w:tr w14:paraId="4ECE94EC">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872"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6D5AE5E6">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ME324</w:t>
            </w:r>
          </w:p>
        </w:tc>
        <w:tc>
          <w:tcPr>
            <w:tcW w:w="5001"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74C2D8BA">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Artificial Intelligence and Deep Learning</w:t>
            </w:r>
          </w:p>
        </w:tc>
        <w:tc>
          <w:tcPr>
            <w:tcW w:w="2648"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73A7C56D">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人工智能与深度学习</w:t>
            </w:r>
          </w:p>
        </w:tc>
      </w:tr>
    </w:tbl>
    <w:p w14:paraId="617FB4FA">
      <w:pPr>
        <w:widowControl w:val="0"/>
        <w:numPr>
          <w:ilvl w:val="0"/>
          <w:numId w:val="0"/>
        </w:numPr>
        <w:jc w:val="both"/>
        <w:rPr>
          <w:rFonts w:hint="default"/>
        </w:rPr>
      </w:pPr>
    </w:p>
    <w:p w14:paraId="2A20DFA6">
      <w:pPr>
        <w:widowControl w:val="0"/>
        <w:numPr>
          <w:ilvl w:val="0"/>
          <w:numId w:val="0"/>
        </w:numPr>
        <w:jc w:val="both"/>
        <w:rPr>
          <w:rFonts w:hint="default"/>
        </w:rPr>
      </w:pPr>
    </w:p>
    <w:p w14:paraId="7933A9F1">
      <w:pPr>
        <w:numPr>
          <w:ilvl w:val="0"/>
          <w:numId w:val="6"/>
        </w:numPr>
        <w:ind w:left="0" w:leftChars="0" w:firstLine="0" w:firstLineChars="0"/>
        <w:rPr>
          <w:rFonts w:hint="default"/>
        </w:rPr>
      </w:pPr>
      <w:r>
        <w:rPr>
          <w:rFonts w:hint="default"/>
        </w:rPr>
        <w:t>Economics：经济学</w:t>
      </w:r>
    </w:p>
    <w:tbl>
      <w:tblPr>
        <w:tblStyle w:val="11"/>
        <w:tblW w:w="8521" w:type="dxa"/>
        <w:jc w:val="center"/>
        <w:tblBorders>
          <w:top w:val="none" w:color="auto" w:sz="0" w:space="0"/>
          <w:left w:val="single" w:color="auto" w:sz="2" w:space="0"/>
          <w:bottom w:val="single" w:color="auto" w:sz="2" w:space="0"/>
          <w:right w:val="single" w:color="auto" w:sz="2"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802"/>
        <w:gridCol w:w="4795"/>
        <w:gridCol w:w="2924"/>
      </w:tblGrid>
      <w:tr w14:paraId="4AD17610">
        <w:tblPrEx>
          <w:tblBorders>
            <w:top w:val="none" w:color="auto" w:sz="0" w:space="0"/>
            <w:left w:val="single" w:color="auto" w:sz="2" w:space="0"/>
            <w:bottom w:val="single" w:color="auto" w:sz="2" w:space="0"/>
            <w:right w:val="single" w:color="auto" w:sz="2"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tblHeader/>
          <w:jc w:val="center"/>
        </w:trPr>
        <w:tc>
          <w:tcPr>
            <w:tcW w:w="802" w:type="dxa"/>
            <w:tcBorders>
              <w:top w:val="single" w:color="auto" w:sz="4" w:space="0"/>
              <w:left w:val="single" w:color="auto" w:sz="4" w:space="0"/>
              <w:bottom w:val="single" w:color="auto" w:sz="4" w:space="0"/>
              <w:right w:val="single" w:color="auto" w:sz="4" w:space="0"/>
            </w:tcBorders>
            <w:shd w:val="clear" w:color="auto" w:fill="F2F2F2"/>
            <w:noWrap w:val="0"/>
            <w:tcMar>
              <w:top w:w="90" w:type="dxa"/>
              <w:left w:w="135" w:type="dxa"/>
              <w:bottom w:w="90" w:type="dxa"/>
              <w:right w:w="135" w:type="dxa"/>
            </w:tcMar>
            <w:vAlign w:val="center"/>
          </w:tcPr>
          <w:p w14:paraId="76ACC369">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课程代码</w:t>
            </w:r>
          </w:p>
        </w:tc>
        <w:tc>
          <w:tcPr>
            <w:tcW w:w="4795" w:type="dxa"/>
            <w:tcBorders>
              <w:top w:val="single" w:color="auto" w:sz="4" w:space="0"/>
              <w:left w:val="single" w:color="auto" w:sz="4" w:space="0"/>
              <w:bottom w:val="single" w:color="auto" w:sz="4" w:space="0"/>
              <w:right w:val="single" w:color="auto" w:sz="4" w:space="0"/>
            </w:tcBorders>
            <w:shd w:val="clear" w:color="auto" w:fill="F2F2F2"/>
            <w:noWrap w:val="0"/>
            <w:tcMar>
              <w:top w:w="90" w:type="dxa"/>
              <w:left w:w="135" w:type="dxa"/>
              <w:bottom w:w="90" w:type="dxa"/>
              <w:right w:w="135" w:type="dxa"/>
            </w:tcMar>
            <w:vAlign w:val="center"/>
          </w:tcPr>
          <w:p w14:paraId="6B907E5D">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课程英文名称</w:t>
            </w:r>
          </w:p>
        </w:tc>
        <w:tc>
          <w:tcPr>
            <w:tcW w:w="2924" w:type="dxa"/>
            <w:tcBorders>
              <w:top w:val="single" w:color="auto" w:sz="4" w:space="0"/>
              <w:left w:val="single" w:color="auto" w:sz="4" w:space="0"/>
              <w:bottom w:val="single" w:color="auto" w:sz="4" w:space="0"/>
              <w:right w:val="single" w:color="auto" w:sz="4" w:space="0"/>
            </w:tcBorders>
            <w:shd w:val="clear" w:color="auto" w:fill="F2F2F2"/>
            <w:noWrap w:val="0"/>
            <w:tcMar>
              <w:top w:w="90" w:type="dxa"/>
              <w:left w:w="135" w:type="dxa"/>
              <w:bottom w:w="90" w:type="dxa"/>
              <w:right w:w="135" w:type="dxa"/>
            </w:tcMar>
            <w:vAlign w:val="center"/>
          </w:tcPr>
          <w:p w14:paraId="2C87EE09">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课程中文名称</w:t>
            </w:r>
          </w:p>
        </w:tc>
      </w:tr>
      <w:tr w14:paraId="2CD72B79">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802"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0CDAC9B2">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EC101</w:t>
            </w:r>
          </w:p>
        </w:tc>
        <w:tc>
          <w:tcPr>
            <w:tcW w:w="4795"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4C07A6D0">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Introductory Microeconomics</w:t>
            </w:r>
          </w:p>
        </w:tc>
        <w:tc>
          <w:tcPr>
            <w:tcW w:w="2924"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6DF0DA06">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微观经济学导论</w:t>
            </w:r>
          </w:p>
        </w:tc>
      </w:tr>
      <w:tr w14:paraId="6255D40D">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802"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2C6892E2">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EC102</w:t>
            </w:r>
          </w:p>
        </w:tc>
        <w:tc>
          <w:tcPr>
            <w:tcW w:w="4795"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50DE6E3D">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Introductory Macroeconomics</w:t>
            </w:r>
          </w:p>
        </w:tc>
        <w:tc>
          <w:tcPr>
            <w:tcW w:w="2924"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1CD148BE">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宏观经济学导论</w:t>
            </w:r>
          </w:p>
        </w:tc>
      </w:tr>
      <w:tr w14:paraId="4059971D">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802"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0C306964">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EC103</w:t>
            </w:r>
          </w:p>
        </w:tc>
        <w:tc>
          <w:tcPr>
            <w:tcW w:w="4795"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1B80E9B5">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The Economic History of Inequality</w:t>
            </w:r>
          </w:p>
        </w:tc>
        <w:tc>
          <w:tcPr>
            <w:tcW w:w="2924"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3E48A056">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不平等的经济史</w:t>
            </w:r>
          </w:p>
        </w:tc>
      </w:tr>
      <w:tr w14:paraId="31F0EBD3">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802"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4D6F081C">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EC104</w:t>
            </w:r>
          </w:p>
        </w:tc>
        <w:tc>
          <w:tcPr>
            <w:tcW w:w="4795"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2DBA7CFB">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The Wealth (and Poverty) of Nations: Global Economic Development Past and Present</w:t>
            </w:r>
          </w:p>
        </w:tc>
        <w:tc>
          <w:tcPr>
            <w:tcW w:w="2924"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138A5872">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《国家的财富与贫困：全球经济发展的过去与现在》</w:t>
            </w:r>
          </w:p>
        </w:tc>
      </w:tr>
      <w:tr w14:paraId="3FDEF0AC">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802"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055B4DDC">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EC200</w:t>
            </w:r>
          </w:p>
        </w:tc>
        <w:tc>
          <w:tcPr>
            <w:tcW w:w="4795"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397E4C01">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Introduction to Behavioural Economics</w:t>
            </w:r>
          </w:p>
        </w:tc>
        <w:tc>
          <w:tcPr>
            <w:tcW w:w="2924"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32784D0E">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行为经济学导论</w:t>
            </w:r>
          </w:p>
        </w:tc>
      </w:tr>
      <w:tr w14:paraId="6C5A1C81">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802"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5076537D">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EC202</w:t>
            </w:r>
          </w:p>
        </w:tc>
        <w:tc>
          <w:tcPr>
            <w:tcW w:w="4795"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70A28CC5">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Intermediate Macroeconomics</w:t>
            </w:r>
          </w:p>
        </w:tc>
        <w:tc>
          <w:tcPr>
            <w:tcW w:w="2924"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79C5CCAD">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中级宏观经济学</w:t>
            </w:r>
          </w:p>
        </w:tc>
      </w:tr>
      <w:tr w14:paraId="46547CE5">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802"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1F4E964A">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EC203</w:t>
            </w:r>
          </w:p>
        </w:tc>
        <w:tc>
          <w:tcPr>
            <w:tcW w:w="4795"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133ADDFE">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Real Estate Economics and Finance</w:t>
            </w:r>
          </w:p>
        </w:tc>
        <w:tc>
          <w:tcPr>
            <w:tcW w:w="2924"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09284787">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房地产经济与金融</w:t>
            </w:r>
          </w:p>
        </w:tc>
      </w:tr>
      <w:tr w14:paraId="69D6DE54">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802"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54245B01">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EC204</w:t>
            </w:r>
          </w:p>
        </w:tc>
        <w:tc>
          <w:tcPr>
            <w:tcW w:w="4795"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02AD4DC3">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Financial Markets and the Global Economy: The History of Bubbles, Crashes and Inflations</w:t>
            </w:r>
          </w:p>
        </w:tc>
        <w:tc>
          <w:tcPr>
            <w:tcW w:w="2924"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25BF6F66">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金融市场与全球经济：泡沫、崩盘与通胀的历史</w:t>
            </w:r>
          </w:p>
        </w:tc>
      </w:tr>
      <w:tr w14:paraId="421426D7">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802"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4EEB1ED2">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EC210</w:t>
            </w:r>
          </w:p>
        </w:tc>
        <w:tc>
          <w:tcPr>
            <w:tcW w:w="4795"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6A44A1C0">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Inequality and Poverty Analysis</w:t>
            </w:r>
          </w:p>
        </w:tc>
        <w:tc>
          <w:tcPr>
            <w:tcW w:w="2924"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4E879A07">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不平等与贫困分析</w:t>
            </w:r>
          </w:p>
        </w:tc>
      </w:tr>
      <w:tr w14:paraId="7DA0D5EA">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802"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3F8255B3">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EC212</w:t>
            </w:r>
          </w:p>
        </w:tc>
        <w:tc>
          <w:tcPr>
            <w:tcW w:w="4795"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4E542721">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Introduction to Econometrics</w:t>
            </w:r>
          </w:p>
        </w:tc>
        <w:tc>
          <w:tcPr>
            <w:tcW w:w="2924"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30132EA7">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计量经济学导论</w:t>
            </w:r>
          </w:p>
        </w:tc>
      </w:tr>
      <w:tr w14:paraId="4CDF190D">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802"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636A4B38">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EC235</w:t>
            </w:r>
          </w:p>
        </w:tc>
        <w:tc>
          <w:tcPr>
            <w:tcW w:w="4795"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4BF82E2E">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Economics of European Integration</w:t>
            </w:r>
          </w:p>
        </w:tc>
        <w:tc>
          <w:tcPr>
            <w:tcW w:w="2924"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5BB2CF6F">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欧洲一体化经济学</w:t>
            </w:r>
          </w:p>
        </w:tc>
      </w:tr>
      <w:tr w14:paraId="444EC171">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802"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52766F2D">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EC240</w:t>
            </w:r>
          </w:p>
        </w:tc>
        <w:tc>
          <w:tcPr>
            <w:tcW w:w="4795"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75C0BCEB">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Environmental Economics and Sustainable Development</w:t>
            </w:r>
          </w:p>
        </w:tc>
        <w:tc>
          <w:tcPr>
            <w:tcW w:w="2924"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5F264492">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环境经济学与可持续发展</w:t>
            </w:r>
          </w:p>
        </w:tc>
      </w:tr>
      <w:tr w14:paraId="35098EC7">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802"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57801E67">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EC260</w:t>
            </w:r>
          </w:p>
        </w:tc>
        <w:tc>
          <w:tcPr>
            <w:tcW w:w="4795"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3BC05FC2">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The Political Economy of Public Policy</w:t>
            </w:r>
          </w:p>
        </w:tc>
        <w:tc>
          <w:tcPr>
            <w:tcW w:w="2924"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6AA13DA8">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公共政策的政治经济学</w:t>
            </w:r>
          </w:p>
        </w:tc>
      </w:tr>
      <w:tr w14:paraId="58CA8C81">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802"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67EB512C">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EC270</w:t>
            </w:r>
          </w:p>
        </w:tc>
        <w:tc>
          <w:tcPr>
            <w:tcW w:w="4795"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42FB25D9">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Public Finance: Designing Effective Government Policy</w:t>
            </w:r>
          </w:p>
        </w:tc>
        <w:tc>
          <w:tcPr>
            <w:tcW w:w="2924"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0CE0D9B6">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公共财政：设计有效的政府政策</w:t>
            </w:r>
          </w:p>
        </w:tc>
      </w:tr>
      <w:tr w14:paraId="3D64E9E4">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802"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5321917C">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EC307</w:t>
            </w:r>
          </w:p>
        </w:tc>
        <w:tc>
          <w:tcPr>
            <w:tcW w:w="4795"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65D3B50A">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Development Economics</w:t>
            </w:r>
          </w:p>
        </w:tc>
        <w:tc>
          <w:tcPr>
            <w:tcW w:w="2924"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6BA1AA21">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发展经济学</w:t>
            </w:r>
          </w:p>
        </w:tc>
      </w:tr>
      <w:tr w14:paraId="1938F875">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802"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507C9691">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EC312</w:t>
            </w:r>
          </w:p>
        </w:tc>
        <w:tc>
          <w:tcPr>
            <w:tcW w:w="4795"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0A9860C2">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Advanced Econometrics</w:t>
            </w:r>
          </w:p>
        </w:tc>
        <w:tc>
          <w:tcPr>
            <w:tcW w:w="2924"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395A5B07">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高级计量经济学</w:t>
            </w:r>
          </w:p>
        </w:tc>
      </w:tr>
      <w:tr w14:paraId="58CA53F0">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802"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0F0EDCED">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EC320</w:t>
            </w:r>
          </w:p>
        </w:tc>
        <w:tc>
          <w:tcPr>
            <w:tcW w:w="4795"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359B4244">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Applied Econometrics and Big Data</w:t>
            </w:r>
          </w:p>
        </w:tc>
        <w:tc>
          <w:tcPr>
            <w:tcW w:w="2924"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6C367CBB">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应用计量经济学与大数据</w:t>
            </w:r>
          </w:p>
        </w:tc>
      </w:tr>
      <w:tr w14:paraId="0178C85B">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802"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48E42260">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EC351</w:t>
            </w:r>
          </w:p>
        </w:tc>
        <w:tc>
          <w:tcPr>
            <w:tcW w:w="4795"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27231464">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International Economics</w:t>
            </w:r>
          </w:p>
        </w:tc>
        <w:tc>
          <w:tcPr>
            <w:tcW w:w="2924"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1C870D5A">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国际经济学</w:t>
            </w:r>
          </w:p>
        </w:tc>
      </w:tr>
    </w:tbl>
    <w:p w14:paraId="3AF8244A">
      <w:pPr>
        <w:rPr>
          <w:rFonts w:hint="eastAsia"/>
          <w:lang w:val="en-US" w:eastAsia="zh-CN"/>
        </w:rPr>
      </w:pPr>
    </w:p>
    <w:p w14:paraId="56B69468">
      <w:pPr>
        <w:numPr>
          <w:ilvl w:val="0"/>
          <w:numId w:val="6"/>
        </w:numPr>
        <w:ind w:left="0" w:leftChars="0" w:firstLine="0" w:firstLineChars="0"/>
        <w:rPr>
          <w:rFonts w:hint="default"/>
        </w:rPr>
      </w:pPr>
      <w:r>
        <w:rPr>
          <w:rFonts w:hint="default"/>
        </w:rPr>
        <w:t>Finance：金融学</w:t>
      </w:r>
    </w:p>
    <w:tbl>
      <w:tblPr>
        <w:tblStyle w:val="11"/>
        <w:tblW w:w="8520" w:type="dxa"/>
        <w:jc w:val="center"/>
        <w:tblBorders>
          <w:top w:val="none" w:color="auto" w:sz="0" w:space="0"/>
          <w:left w:val="single" w:color="auto" w:sz="2" w:space="0"/>
          <w:bottom w:val="single" w:color="auto" w:sz="2" w:space="0"/>
          <w:right w:val="single" w:color="auto" w:sz="2"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975"/>
        <w:gridCol w:w="4694"/>
        <w:gridCol w:w="2851"/>
      </w:tblGrid>
      <w:tr w14:paraId="441E4272">
        <w:tblPrEx>
          <w:tblBorders>
            <w:top w:val="none" w:color="auto" w:sz="0" w:space="0"/>
            <w:left w:val="single" w:color="auto" w:sz="2" w:space="0"/>
            <w:bottom w:val="single" w:color="auto" w:sz="2" w:space="0"/>
            <w:right w:val="single" w:color="auto" w:sz="2"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tblHeader/>
          <w:jc w:val="center"/>
        </w:trPr>
        <w:tc>
          <w:tcPr>
            <w:tcW w:w="975" w:type="dxa"/>
            <w:tcBorders>
              <w:top w:val="single" w:color="auto" w:sz="4" w:space="0"/>
              <w:left w:val="single" w:color="auto" w:sz="4" w:space="0"/>
              <w:bottom w:val="single" w:color="auto" w:sz="4" w:space="0"/>
              <w:right w:val="single" w:color="auto" w:sz="4" w:space="0"/>
            </w:tcBorders>
            <w:shd w:val="clear" w:color="auto" w:fill="F2F2F2"/>
            <w:noWrap w:val="0"/>
            <w:tcMar>
              <w:top w:w="90" w:type="dxa"/>
              <w:left w:w="135" w:type="dxa"/>
              <w:bottom w:w="90" w:type="dxa"/>
              <w:right w:w="135" w:type="dxa"/>
            </w:tcMar>
            <w:vAlign w:val="center"/>
          </w:tcPr>
          <w:p w14:paraId="707028CB">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课程代码</w:t>
            </w:r>
          </w:p>
        </w:tc>
        <w:tc>
          <w:tcPr>
            <w:tcW w:w="4694" w:type="dxa"/>
            <w:tcBorders>
              <w:top w:val="single" w:color="auto" w:sz="4" w:space="0"/>
              <w:left w:val="single" w:color="auto" w:sz="4" w:space="0"/>
              <w:bottom w:val="single" w:color="auto" w:sz="4" w:space="0"/>
              <w:right w:val="single" w:color="auto" w:sz="4" w:space="0"/>
            </w:tcBorders>
            <w:shd w:val="clear" w:color="auto" w:fill="F2F2F2"/>
            <w:noWrap w:val="0"/>
            <w:tcMar>
              <w:top w:w="90" w:type="dxa"/>
              <w:left w:w="135" w:type="dxa"/>
              <w:bottom w:w="90" w:type="dxa"/>
              <w:right w:w="135" w:type="dxa"/>
            </w:tcMar>
            <w:vAlign w:val="center"/>
          </w:tcPr>
          <w:p w14:paraId="1F0D3C7E">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课程英文名称</w:t>
            </w:r>
          </w:p>
        </w:tc>
        <w:tc>
          <w:tcPr>
            <w:tcW w:w="2851" w:type="dxa"/>
            <w:tcBorders>
              <w:top w:val="single" w:color="auto" w:sz="4" w:space="0"/>
              <w:left w:val="single" w:color="auto" w:sz="4" w:space="0"/>
              <w:bottom w:val="single" w:color="auto" w:sz="4" w:space="0"/>
              <w:right w:val="single" w:color="auto" w:sz="4" w:space="0"/>
            </w:tcBorders>
            <w:shd w:val="clear" w:color="auto" w:fill="F2F2F2"/>
            <w:noWrap w:val="0"/>
            <w:tcMar>
              <w:top w:w="90" w:type="dxa"/>
              <w:left w:w="135" w:type="dxa"/>
              <w:bottom w:w="90" w:type="dxa"/>
              <w:right w:w="135" w:type="dxa"/>
            </w:tcMar>
            <w:vAlign w:val="center"/>
          </w:tcPr>
          <w:p w14:paraId="6EE9B6FC">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课程中文名称</w:t>
            </w:r>
          </w:p>
        </w:tc>
      </w:tr>
      <w:tr w14:paraId="3481068A">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975"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769E2FEF">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FM200</w:t>
            </w:r>
          </w:p>
        </w:tc>
        <w:tc>
          <w:tcPr>
            <w:tcW w:w="4694"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6DAAC135">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Fundraising for Startups</w:t>
            </w:r>
          </w:p>
        </w:tc>
        <w:tc>
          <w:tcPr>
            <w:tcW w:w="2851"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7188C5AD">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初创企业融资</w:t>
            </w:r>
          </w:p>
        </w:tc>
      </w:tr>
      <w:tr w14:paraId="5E13540D">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975"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444221D1">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FM201</w:t>
            </w:r>
          </w:p>
        </w:tc>
        <w:tc>
          <w:tcPr>
            <w:tcW w:w="4694"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3E6F4B00">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Sustainable Finance and Impact Investing</w:t>
            </w:r>
          </w:p>
        </w:tc>
        <w:tc>
          <w:tcPr>
            <w:tcW w:w="2851"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09F1031B">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可持续金融与影响力投资</w:t>
            </w:r>
          </w:p>
        </w:tc>
      </w:tr>
      <w:tr w14:paraId="468A9E09">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975"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40941891">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FM202</w:t>
            </w:r>
          </w:p>
        </w:tc>
        <w:tc>
          <w:tcPr>
            <w:tcW w:w="4694"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687BF231">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Analysis and Management of Financial Risk</w:t>
            </w:r>
          </w:p>
        </w:tc>
        <w:tc>
          <w:tcPr>
            <w:tcW w:w="2851"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6D863BCF">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金融风险分析与管理</w:t>
            </w:r>
          </w:p>
        </w:tc>
      </w:tr>
      <w:tr w14:paraId="019B72D0">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975"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7F5CCD44">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FM225</w:t>
            </w:r>
          </w:p>
        </w:tc>
        <w:tc>
          <w:tcPr>
            <w:tcW w:w="4694"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7C5EF252">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Fixed Income Securities, Debt Markets and the Macro Economy</w:t>
            </w:r>
          </w:p>
        </w:tc>
        <w:tc>
          <w:tcPr>
            <w:tcW w:w="2851"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6D94D744">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固定收益证券、债券市场与宏观经济</w:t>
            </w:r>
          </w:p>
        </w:tc>
      </w:tr>
      <w:tr w14:paraId="4A4E4FD9">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975"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6985CD7A">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FM230</w:t>
            </w:r>
          </w:p>
        </w:tc>
        <w:tc>
          <w:tcPr>
            <w:tcW w:w="4694"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74878F92">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Alternative Investments</w:t>
            </w:r>
          </w:p>
        </w:tc>
        <w:tc>
          <w:tcPr>
            <w:tcW w:w="2851"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1B1407B7">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另类投资</w:t>
            </w:r>
          </w:p>
        </w:tc>
      </w:tr>
      <w:tr w14:paraId="00CB3343">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975"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4188DE0F">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FM250</w:t>
            </w:r>
          </w:p>
        </w:tc>
        <w:tc>
          <w:tcPr>
            <w:tcW w:w="4694"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3DAC108E">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Finance</w:t>
            </w:r>
          </w:p>
        </w:tc>
        <w:tc>
          <w:tcPr>
            <w:tcW w:w="2851"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41CE65E2">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金融学</w:t>
            </w:r>
          </w:p>
        </w:tc>
      </w:tr>
      <w:tr w14:paraId="060AE8DC">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975"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74E14F8C">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FM350</w:t>
            </w:r>
          </w:p>
        </w:tc>
        <w:tc>
          <w:tcPr>
            <w:tcW w:w="4694"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30B10E3B">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Advanced Corporate Finance</w:t>
            </w:r>
          </w:p>
        </w:tc>
        <w:tc>
          <w:tcPr>
            <w:tcW w:w="2851"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44BE99C0">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高级公司金融</w:t>
            </w:r>
          </w:p>
        </w:tc>
      </w:tr>
      <w:tr w14:paraId="136C0199">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975"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37EE87FC">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FM360</w:t>
            </w:r>
          </w:p>
        </w:tc>
        <w:tc>
          <w:tcPr>
            <w:tcW w:w="4694"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5F318033">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Options, Futures and Other Financial Derivatives</w:t>
            </w:r>
          </w:p>
        </w:tc>
        <w:tc>
          <w:tcPr>
            <w:tcW w:w="2851"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3981660F">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期权、期货及其他金融衍生品</w:t>
            </w:r>
          </w:p>
        </w:tc>
      </w:tr>
    </w:tbl>
    <w:p w14:paraId="5C8EF802">
      <w:pPr>
        <w:rPr>
          <w:rFonts w:hint="default"/>
        </w:rPr>
      </w:pPr>
    </w:p>
    <w:p w14:paraId="6C83FC09">
      <w:pPr>
        <w:numPr>
          <w:ilvl w:val="0"/>
          <w:numId w:val="6"/>
        </w:numPr>
        <w:ind w:left="0" w:leftChars="0" w:firstLine="0" w:firstLineChars="0"/>
        <w:rPr>
          <w:rFonts w:hint="default"/>
        </w:rPr>
      </w:pPr>
      <w:r>
        <w:rPr>
          <w:rFonts w:hint="default"/>
        </w:rPr>
        <w:t>International Relations：国际关系</w:t>
      </w:r>
    </w:p>
    <w:tbl>
      <w:tblPr>
        <w:tblStyle w:val="11"/>
        <w:tblW w:w="8522" w:type="dxa"/>
        <w:jc w:val="center"/>
        <w:tblBorders>
          <w:top w:val="none" w:color="auto" w:sz="0" w:space="0"/>
          <w:left w:val="single" w:color="auto" w:sz="2" w:space="0"/>
          <w:bottom w:val="single" w:color="auto" w:sz="2" w:space="0"/>
          <w:right w:val="single" w:color="auto" w:sz="2"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757"/>
        <w:gridCol w:w="4532"/>
        <w:gridCol w:w="3233"/>
      </w:tblGrid>
      <w:tr w14:paraId="54128F20">
        <w:tblPrEx>
          <w:tblBorders>
            <w:top w:val="none" w:color="auto" w:sz="0" w:space="0"/>
            <w:left w:val="single" w:color="auto" w:sz="2" w:space="0"/>
            <w:bottom w:val="single" w:color="auto" w:sz="2" w:space="0"/>
            <w:right w:val="single" w:color="auto" w:sz="2"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tblHeader/>
          <w:jc w:val="center"/>
        </w:trPr>
        <w:tc>
          <w:tcPr>
            <w:tcW w:w="757" w:type="dxa"/>
            <w:tcBorders>
              <w:top w:val="single" w:color="auto" w:sz="4" w:space="0"/>
              <w:left w:val="single" w:color="auto" w:sz="4" w:space="0"/>
              <w:bottom w:val="single" w:color="auto" w:sz="4" w:space="0"/>
              <w:right w:val="single" w:color="auto" w:sz="4" w:space="0"/>
            </w:tcBorders>
            <w:shd w:val="clear" w:color="auto" w:fill="F2F2F2"/>
            <w:noWrap w:val="0"/>
            <w:tcMar>
              <w:top w:w="90" w:type="dxa"/>
              <w:left w:w="135" w:type="dxa"/>
              <w:bottom w:w="90" w:type="dxa"/>
              <w:right w:w="135" w:type="dxa"/>
            </w:tcMar>
            <w:vAlign w:val="center"/>
          </w:tcPr>
          <w:p w14:paraId="45D44D30">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课程代码</w:t>
            </w:r>
          </w:p>
        </w:tc>
        <w:tc>
          <w:tcPr>
            <w:tcW w:w="4532" w:type="dxa"/>
            <w:tcBorders>
              <w:top w:val="single" w:color="auto" w:sz="4" w:space="0"/>
              <w:left w:val="single" w:color="auto" w:sz="4" w:space="0"/>
              <w:bottom w:val="single" w:color="auto" w:sz="4" w:space="0"/>
              <w:right w:val="single" w:color="auto" w:sz="4" w:space="0"/>
            </w:tcBorders>
            <w:shd w:val="clear" w:color="auto" w:fill="F2F2F2"/>
            <w:noWrap w:val="0"/>
            <w:tcMar>
              <w:top w:w="90" w:type="dxa"/>
              <w:left w:w="135" w:type="dxa"/>
              <w:bottom w:w="90" w:type="dxa"/>
              <w:right w:w="135" w:type="dxa"/>
            </w:tcMar>
            <w:vAlign w:val="center"/>
          </w:tcPr>
          <w:p w14:paraId="5BADC883">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课程英文名称</w:t>
            </w:r>
          </w:p>
        </w:tc>
        <w:tc>
          <w:tcPr>
            <w:tcW w:w="3233" w:type="dxa"/>
            <w:tcBorders>
              <w:top w:val="single" w:color="auto" w:sz="4" w:space="0"/>
              <w:left w:val="single" w:color="auto" w:sz="4" w:space="0"/>
              <w:bottom w:val="single" w:color="auto" w:sz="4" w:space="0"/>
              <w:right w:val="single" w:color="auto" w:sz="4" w:space="0"/>
            </w:tcBorders>
            <w:shd w:val="clear" w:color="auto" w:fill="F2F2F2"/>
            <w:noWrap w:val="0"/>
            <w:tcMar>
              <w:top w:w="90" w:type="dxa"/>
              <w:left w:w="135" w:type="dxa"/>
              <w:bottom w:w="90" w:type="dxa"/>
              <w:right w:w="135" w:type="dxa"/>
            </w:tcMar>
            <w:vAlign w:val="center"/>
          </w:tcPr>
          <w:p w14:paraId="1E3A8588">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课程中文名称</w:t>
            </w:r>
          </w:p>
        </w:tc>
      </w:tr>
      <w:tr w14:paraId="7F7CD736">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757"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72CD0251">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IR100</w:t>
            </w:r>
          </w:p>
        </w:tc>
        <w:tc>
          <w:tcPr>
            <w:tcW w:w="4532"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1BDEEC0E">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Great Thinkers and Pivotal Leaders: Shaping the Global Order</w:t>
            </w:r>
          </w:p>
        </w:tc>
        <w:tc>
          <w:tcPr>
            <w:tcW w:w="3233"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6E12F321">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伟大思想家与关键领袖：塑造全球秩序</w:t>
            </w:r>
          </w:p>
        </w:tc>
      </w:tr>
      <w:tr w14:paraId="0A912D5A">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757"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3948112E">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IR102</w:t>
            </w:r>
          </w:p>
        </w:tc>
        <w:tc>
          <w:tcPr>
            <w:tcW w:w="4532"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3025E5C7">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Comparative Political Economy: Capitalism, Democracy, and Inequality</w:t>
            </w:r>
          </w:p>
        </w:tc>
        <w:tc>
          <w:tcPr>
            <w:tcW w:w="3233"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12BC89F6">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比较政治经济学：资本主义、民主与不平等</w:t>
            </w:r>
          </w:p>
        </w:tc>
      </w:tr>
      <w:tr w14:paraId="226E979A">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757"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50EBD330">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IR104</w:t>
            </w:r>
          </w:p>
        </w:tc>
        <w:tc>
          <w:tcPr>
            <w:tcW w:w="4532"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6EE585F9">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Environment and Society: Science, Policy and Action</w:t>
            </w:r>
          </w:p>
        </w:tc>
        <w:tc>
          <w:tcPr>
            <w:tcW w:w="3233"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5C865FC3">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环境与社会：科学、政策与行动</w:t>
            </w:r>
          </w:p>
        </w:tc>
      </w:tr>
      <w:tr w14:paraId="38A647BA">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757"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76EF5137">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IR105</w:t>
            </w:r>
          </w:p>
        </w:tc>
        <w:tc>
          <w:tcPr>
            <w:tcW w:w="4532"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7DFB1D97">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Understanding Foreign Policy: the Diplomacy of War, Profit and Justice</w:t>
            </w:r>
          </w:p>
        </w:tc>
        <w:tc>
          <w:tcPr>
            <w:tcW w:w="3233"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76EB27E4">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理解外交政策：战争、利益与正义的外交</w:t>
            </w:r>
          </w:p>
        </w:tc>
      </w:tr>
      <w:tr w14:paraId="1711D9EC">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757"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30416763">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IR110</w:t>
            </w:r>
          </w:p>
        </w:tc>
        <w:tc>
          <w:tcPr>
            <w:tcW w:w="4532"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2687D4A9">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Foundations of Psychological Science</w:t>
            </w:r>
          </w:p>
        </w:tc>
        <w:tc>
          <w:tcPr>
            <w:tcW w:w="3233"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5D6E1018">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心理科学基础</w:t>
            </w:r>
          </w:p>
        </w:tc>
      </w:tr>
      <w:tr w14:paraId="5D2FE661">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757"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49DC971A">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IR112</w:t>
            </w:r>
          </w:p>
        </w:tc>
        <w:tc>
          <w:tcPr>
            <w:tcW w:w="4532"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5C8FF5B2">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Gender, Culture and Policy</w:t>
            </w:r>
          </w:p>
        </w:tc>
        <w:tc>
          <w:tcPr>
            <w:tcW w:w="3233"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52BFB6EA">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性别、文化与政策</w:t>
            </w:r>
          </w:p>
        </w:tc>
      </w:tr>
      <w:tr w14:paraId="5BB19229">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757"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446436EE">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IR114</w:t>
            </w:r>
          </w:p>
        </w:tc>
        <w:tc>
          <w:tcPr>
            <w:tcW w:w="4532"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38B476AC">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Power, Inequality and Identity: Understanding Contemporary Societies</w:t>
            </w:r>
          </w:p>
        </w:tc>
        <w:tc>
          <w:tcPr>
            <w:tcW w:w="3233"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4FD36AD2">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权力、不平等与身份：理解当代社会</w:t>
            </w:r>
          </w:p>
        </w:tc>
      </w:tr>
      <w:tr w14:paraId="43978541">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757"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5B95618F">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IR115</w:t>
            </w:r>
          </w:p>
        </w:tc>
        <w:tc>
          <w:tcPr>
            <w:tcW w:w="4532"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5C2D62F7">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Culture and Globalisation</w:t>
            </w:r>
          </w:p>
        </w:tc>
        <w:tc>
          <w:tcPr>
            <w:tcW w:w="3233"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5F8C7E66">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文化与全球化</w:t>
            </w:r>
          </w:p>
        </w:tc>
      </w:tr>
      <w:tr w14:paraId="0E6CA492">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757"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759E3F24">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IR116</w:t>
            </w:r>
          </w:p>
        </w:tc>
        <w:tc>
          <w:tcPr>
            <w:tcW w:w="4532"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4D8F5068">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Food, Culture, and Identity</w:t>
            </w:r>
          </w:p>
        </w:tc>
        <w:tc>
          <w:tcPr>
            <w:tcW w:w="3233"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198210DC">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食物、文化与身份</w:t>
            </w:r>
          </w:p>
        </w:tc>
      </w:tr>
      <w:tr w14:paraId="0A27CDCE">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757"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7E44AE03">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IR117</w:t>
            </w:r>
          </w:p>
        </w:tc>
        <w:tc>
          <w:tcPr>
            <w:tcW w:w="4532"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7C2E5E6D">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The Future of Democracy</w:t>
            </w:r>
          </w:p>
        </w:tc>
        <w:tc>
          <w:tcPr>
            <w:tcW w:w="3233"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63E22B5A">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民主的未来</w:t>
            </w:r>
          </w:p>
        </w:tc>
      </w:tr>
      <w:tr w14:paraId="2F10F9C4">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757"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53A6A03E">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IR120</w:t>
            </w:r>
          </w:p>
        </w:tc>
        <w:tc>
          <w:tcPr>
            <w:tcW w:w="4532"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47F5B8BB">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Trade, Development and the Environment</w:t>
            </w:r>
          </w:p>
        </w:tc>
        <w:tc>
          <w:tcPr>
            <w:tcW w:w="3233"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5C3CC583">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贸易、发展与环境</w:t>
            </w:r>
          </w:p>
        </w:tc>
      </w:tr>
      <w:tr w14:paraId="1CBA050A">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757"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105C3CB3">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IR130</w:t>
            </w:r>
          </w:p>
        </w:tc>
        <w:tc>
          <w:tcPr>
            <w:tcW w:w="4532"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170CEDFB">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War, Power and Morality: Divisive Debates and Contentious Conflicts</w:t>
            </w:r>
          </w:p>
        </w:tc>
        <w:tc>
          <w:tcPr>
            <w:tcW w:w="3233"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3C61C623">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战争、权力与道德：分歧性辩论与争议性冲突</w:t>
            </w:r>
          </w:p>
        </w:tc>
      </w:tr>
      <w:tr w14:paraId="6E0C5704">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757"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6FDAD2FC">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IR140</w:t>
            </w:r>
          </w:p>
        </w:tc>
        <w:tc>
          <w:tcPr>
            <w:tcW w:w="4532"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4035978A">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Media and Communications in an Age of Crisis</w:t>
            </w:r>
          </w:p>
        </w:tc>
        <w:tc>
          <w:tcPr>
            <w:tcW w:w="3233"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6BF9AEF4">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危机时代的媒体与传播</w:t>
            </w:r>
          </w:p>
        </w:tc>
      </w:tr>
      <w:tr w14:paraId="67A73D1E">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757"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1D4E3976">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IR160</w:t>
            </w:r>
          </w:p>
        </w:tc>
        <w:tc>
          <w:tcPr>
            <w:tcW w:w="4532"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553A2DAC">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Conflict and Power in the Contemporary Middle East</w:t>
            </w:r>
          </w:p>
        </w:tc>
        <w:tc>
          <w:tcPr>
            <w:tcW w:w="3233"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521DB962">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当代中东的冲突与权力</w:t>
            </w:r>
          </w:p>
        </w:tc>
      </w:tr>
      <w:tr w14:paraId="6EE9A0F3">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757"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0776A6A5">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IR201</w:t>
            </w:r>
          </w:p>
        </w:tc>
        <w:tc>
          <w:tcPr>
            <w:tcW w:w="4532"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4B5DD249">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The Power Shift: The West, the BRICS and The Crisis of the Liberal International Order?</w:t>
            </w:r>
          </w:p>
        </w:tc>
        <w:tc>
          <w:tcPr>
            <w:tcW w:w="3233"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090D0FF3">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权力转移：西方、金砖国家与自由国际秩序的危机？</w:t>
            </w:r>
          </w:p>
        </w:tc>
      </w:tr>
      <w:tr w14:paraId="5B471975">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757"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23D4BD8F">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IR204</w:t>
            </w:r>
          </w:p>
        </w:tc>
        <w:tc>
          <w:tcPr>
            <w:tcW w:w="4532"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322BF207">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International Migration: Power, Policy and Lived Realities</w:t>
            </w:r>
          </w:p>
        </w:tc>
        <w:tc>
          <w:tcPr>
            <w:tcW w:w="3233"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2712422C">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国际移民：权力、政策与现实生活</w:t>
            </w:r>
          </w:p>
        </w:tc>
      </w:tr>
      <w:tr w14:paraId="3EA9CFFF">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757"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7EBF1885">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IR207</w:t>
            </w:r>
          </w:p>
        </w:tc>
        <w:tc>
          <w:tcPr>
            <w:tcW w:w="4532"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09C6EE15">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Development in the International Political Economy</w:t>
            </w:r>
          </w:p>
        </w:tc>
        <w:tc>
          <w:tcPr>
            <w:tcW w:w="3233"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042A3377">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国际政治经济学中的发展</w:t>
            </w:r>
          </w:p>
        </w:tc>
      </w:tr>
      <w:tr w14:paraId="6A28D3B8">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757"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3AA2A69C">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IR209</w:t>
            </w:r>
          </w:p>
        </w:tc>
        <w:tc>
          <w:tcPr>
            <w:tcW w:w="4532"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13FE9950">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International Political Economy: States and Markets in the 21st Century</w:t>
            </w:r>
          </w:p>
        </w:tc>
        <w:tc>
          <w:tcPr>
            <w:tcW w:w="3233"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63386F12">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国际政治经济学：21 世纪的国家与市场</w:t>
            </w:r>
          </w:p>
        </w:tc>
      </w:tr>
      <w:tr w14:paraId="621591E9">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757"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4D839A74">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IR211</w:t>
            </w:r>
          </w:p>
        </w:tc>
        <w:tc>
          <w:tcPr>
            <w:tcW w:w="4532"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695D855B">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America as a Global Power: FDR to Trump</w:t>
            </w:r>
          </w:p>
        </w:tc>
        <w:tc>
          <w:tcPr>
            <w:tcW w:w="3233"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39C5E9A2">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美国作为全球权力：从罗斯福到特朗普</w:t>
            </w:r>
          </w:p>
        </w:tc>
      </w:tr>
      <w:tr w14:paraId="14229D6E">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757"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500E654B">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IR214</w:t>
            </w:r>
          </w:p>
        </w:tc>
        <w:tc>
          <w:tcPr>
            <w:tcW w:w="4532"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56E65652">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Public Policy Analysis</w:t>
            </w:r>
          </w:p>
        </w:tc>
        <w:tc>
          <w:tcPr>
            <w:tcW w:w="3233"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3B4D6CC5">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公共政策分析</w:t>
            </w:r>
          </w:p>
        </w:tc>
      </w:tr>
      <w:tr w14:paraId="593F7062">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757"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3DFC34EC">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IR218</w:t>
            </w:r>
          </w:p>
        </w:tc>
        <w:tc>
          <w:tcPr>
            <w:tcW w:w="4532"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54660936">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Global Health: Science, Politics and Development</w:t>
            </w:r>
          </w:p>
        </w:tc>
        <w:tc>
          <w:tcPr>
            <w:tcW w:w="3233"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64802961">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全球健康：科学、政治与发展</w:t>
            </w:r>
          </w:p>
        </w:tc>
      </w:tr>
      <w:tr w14:paraId="7E4D8507">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757"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4F168A9E">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IR222</w:t>
            </w:r>
          </w:p>
        </w:tc>
        <w:tc>
          <w:tcPr>
            <w:tcW w:w="4532"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4272539F">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From Cyberwar to Killer Robots: Emerging Technology and International Security</w:t>
            </w:r>
          </w:p>
        </w:tc>
        <w:tc>
          <w:tcPr>
            <w:tcW w:w="3233"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1CDA7A72">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从网络战到杀手机器人：新兴技术与国际安全</w:t>
            </w:r>
          </w:p>
        </w:tc>
      </w:tr>
      <w:tr w14:paraId="0AFC0E0A">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757"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1A657BCE">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IR223</w:t>
            </w:r>
          </w:p>
        </w:tc>
        <w:tc>
          <w:tcPr>
            <w:tcW w:w="4532"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24C8B39F">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Women’s Rights Through the Ages: From First Wave to #MeToo</w:t>
            </w:r>
          </w:p>
        </w:tc>
        <w:tc>
          <w:tcPr>
            <w:tcW w:w="3233"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3525571E">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历代女性权利：从第一次浪潮到 #MeToo</w:t>
            </w:r>
          </w:p>
        </w:tc>
      </w:tr>
      <w:tr w14:paraId="670A2C94">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757"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5BA189D0">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IR224</w:t>
            </w:r>
          </w:p>
        </w:tc>
        <w:tc>
          <w:tcPr>
            <w:tcW w:w="4532"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1AFDA1CA">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Happiness and Policy</w:t>
            </w:r>
          </w:p>
        </w:tc>
        <w:tc>
          <w:tcPr>
            <w:tcW w:w="3233"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6383573A">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幸福与政策</w:t>
            </w:r>
          </w:p>
        </w:tc>
      </w:tr>
      <w:tr w14:paraId="5C202BC2">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757"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4B320355">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IR225</w:t>
            </w:r>
          </w:p>
        </w:tc>
        <w:tc>
          <w:tcPr>
            <w:tcW w:w="4532"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469F5942">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Understanding China’s Rise: Global and Local Perspectives</w:t>
            </w:r>
          </w:p>
        </w:tc>
        <w:tc>
          <w:tcPr>
            <w:tcW w:w="3233"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6EEDFCDE">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理解中国崛起：全球与本土视角</w:t>
            </w:r>
          </w:p>
        </w:tc>
      </w:tr>
      <w:tr w14:paraId="4567F09B">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757"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729373EE">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IR226</w:t>
            </w:r>
          </w:p>
        </w:tc>
        <w:tc>
          <w:tcPr>
            <w:tcW w:w="4532"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36903C3A">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Applied Diplomacy: Strategy, Influence and Negotiating</w:t>
            </w:r>
          </w:p>
        </w:tc>
        <w:tc>
          <w:tcPr>
            <w:tcW w:w="3233"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1D7480F5">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应用外交：战略、影响力与谈判</w:t>
            </w:r>
          </w:p>
        </w:tc>
      </w:tr>
      <w:tr w14:paraId="4DF8ECB0">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757"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40D24198">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IR227</w:t>
            </w:r>
          </w:p>
        </w:tc>
        <w:tc>
          <w:tcPr>
            <w:tcW w:w="4532"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518271F2">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Politics of Change: Governing Social Transformation</w:t>
            </w:r>
          </w:p>
        </w:tc>
        <w:tc>
          <w:tcPr>
            <w:tcW w:w="3233"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672691B9">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变革政治：治理社会转型</w:t>
            </w:r>
          </w:p>
        </w:tc>
      </w:tr>
      <w:tr w14:paraId="3C047A13">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757"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65C42A60">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IR245</w:t>
            </w:r>
          </w:p>
        </w:tc>
        <w:tc>
          <w:tcPr>
            <w:tcW w:w="4532"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3DBCFE36">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International Journalism and The Role of the Media in the Modern World</w:t>
            </w:r>
          </w:p>
        </w:tc>
        <w:tc>
          <w:tcPr>
            <w:tcW w:w="3233"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152B3CF0">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国际新闻与媒体在现代世界的角色</w:t>
            </w:r>
          </w:p>
        </w:tc>
      </w:tr>
    </w:tbl>
    <w:p w14:paraId="6406FC26">
      <w:pPr>
        <w:widowControl w:val="0"/>
        <w:numPr>
          <w:ilvl w:val="0"/>
          <w:numId w:val="0"/>
        </w:numPr>
        <w:jc w:val="both"/>
        <w:rPr>
          <w:rFonts w:hint="default"/>
        </w:rPr>
      </w:pPr>
    </w:p>
    <w:p w14:paraId="35F14887">
      <w:pPr>
        <w:numPr>
          <w:ilvl w:val="0"/>
          <w:numId w:val="6"/>
        </w:numPr>
        <w:ind w:left="0" w:leftChars="0" w:firstLine="0" w:firstLineChars="0"/>
      </w:pPr>
      <w:r>
        <w:rPr>
          <w:rFonts w:hint="default"/>
        </w:rPr>
        <w:t>Law：法学</w:t>
      </w:r>
    </w:p>
    <w:tbl>
      <w:tblPr>
        <w:tblStyle w:val="11"/>
        <w:tblW w:w="8521" w:type="dxa"/>
        <w:jc w:val="center"/>
        <w:tblBorders>
          <w:top w:val="none" w:color="auto" w:sz="0" w:space="0"/>
          <w:left w:val="single" w:color="auto" w:sz="2" w:space="0"/>
          <w:bottom w:val="single" w:color="auto" w:sz="2" w:space="0"/>
          <w:right w:val="single" w:color="auto" w:sz="2"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885"/>
        <w:gridCol w:w="4912"/>
        <w:gridCol w:w="2724"/>
      </w:tblGrid>
      <w:tr w14:paraId="42F08622">
        <w:tblPrEx>
          <w:tblBorders>
            <w:top w:val="none" w:color="auto" w:sz="0" w:space="0"/>
            <w:left w:val="single" w:color="auto" w:sz="2" w:space="0"/>
            <w:bottom w:val="single" w:color="auto" w:sz="2" w:space="0"/>
            <w:right w:val="single" w:color="auto" w:sz="2" w:space="0"/>
            <w:insideH w:val="none" w:color="auto" w:sz="0" w:space="0"/>
            <w:insideV w:val="none" w:color="auto" w:sz="0" w:space="0"/>
          </w:tblBorders>
          <w:tblCellMar>
            <w:top w:w="0" w:type="dxa"/>
            <w:left w:w="0" w:type="dxa"/>
            <w:bottom w:w="0" w:type="dxa"/>
            <w:right w:w="0" w:type="dxa"/>
          </w:tblCellMar>
        </w:tblPrEx>
        <w:trPr>
          <w:trHeight w:val="0" w:hRule="atLeast"/>
          <w:tblHeader/>
          <w:jc w:val="center"/>
        </w:trPr>
        <w:tc>
          <w:tcPr>
            <w:tcW w:w="885" w:type="dxa"/>
            <w:tcBorders>
              <w:top w:val="single" w:color="auto" w:sz="4" w:space="0"/>
              <w:left w:val="single" w:color="auto" w:sz="4" w:space="0"/>
              <w:bottom w:val="single" w:color="auto" w:sz="4" w:space="0"/>
              <w:right w:val="single" w:color="auto" w:sz="4" w:space="0"/>
            </w:tcBorders>
            <w:shd w:val="clear" w:color="auto" w:fill="F2F2F2"/>
            <w:noWrap w:val="0"/>
            <w:tcMar>
              <w:top w:w="90" w:type="dxa"/>
              <w:left w:w="135" w:type="dxa"/>
              <w:bottom w:w="90" w:type="dxa"/>
              <w:right w:w="135" w:type="dxa"/>
            </w:tcMar>
            <w:vAlign w:val="center"/>
          </w:tcPr>
          <w:p w14:paraId="2765CF7E">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课程代码</w:t>
            </w:r>
          </w:p>
        </w:tc>
        <w:tc>
          <w:tcPr>
            <w:tcW w:w="4912" w:type="dxa"/>
            <w:tcBorders>
              <w:top w:val="single" w:color="auto" w:sz="4" w:space="0"/>
              <w:left w:val="single" w:color="auto" w:sz="4" w:space="0"/>
              <w:bottom w:val="single" w:color="auto" w:sz="4" w:space="0"/>
              <w:right w:val="single" w:color="auto" w:sz="4" w:space="0"/>
            </w:tcBorders>
            <w:shd w:val="clear" w:color="auto" w:fill="F2F2F2"/>
            <w:noWrap w:val="0"/>
            <w:tcMar>
              <w:top w:w="90" w:type="dxa"/>
              <w:left w:w="135" w:type="dxa"/>
              <w:bottom w:w="90" w:type="dxa"/>
              <w:right w:w="135" w:type="dxa"/>
            </w:tcMar>
            <w:vAlign w:val="center"/>
          </w:tcPr>
          <w:p w14:paraId="2B6E25B4">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课程英文名称</w:t>
            </w:r>
          </w:p>
        </w:tc>
        <w:tc>
          <w:tcPr>
            <w:tcW w:w="2724" w:type="dxa"/>
            <w:tcBorders>
              <w:top w:val="single" w:color="auto" w:sz="4" w:space="0"/>
              <w:left w:val="single" w:color="auto" w:sz="4" w:space="0"/>
              <w:bottom w:val="single" w:color="auto" w:sz="4" w:space="0"/>
              <w:right w:val="single" w:color="auto" w:sz="4" w:space="0"/>
            </w:tcBorders>
            <w:shd w:val="clear" w:color="auto" w:fill="F2F2F2"/>
            <w:noWrap w:val="0"/>
            <w:tcMar>
              <w:top w:w="90" w:type="dxa"/>
              <w:left w:w="135" w:type="dxa"/>
              <w:bottom w:w="90" w:type="dxa"/>
              <w:right w:w="135" w:type="dxa"/>
            </w:tcMar>
            <w:vAlign w:val="center"/>
          </w:tcPr>
          <w:p w14:paraId="462449AF">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课程中文名称</w:t>
            </w:r>
          </w:p>
        </w:tc>
      </w:tr>
      <w:tr w14:paraId="2F5F8EDA">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885"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1FBBA5FD">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LL100</w:t>
            </w:r>
          </w:p>
        </w:tc>
        <w:tc>
          <w:tcPr>
            <w:tcW w:w="4912"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25A81843">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European Union Law</w:t>
            </w:r>
          </w:p>
        </w:tc>
        <w:tc>
          <w:tcPr>
            <w:tcW w:w="2724"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23B130E5">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欧盟法</w:t>
            </w:r>
          </w:p>
        </w:tc>
      </w:tr>
      <w:tr w14:paraId="0E161BCF">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885"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6EC542DA">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LL102</w:t>
            </w:r>
          </w:p>
        </w:tc>
        <w:tc>
          <w:tcPr>
            <w:tcW w:w="4912"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7201571F">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Introduction to International Human Rights: Theory, Law and Practice</w:t>
            </w:r>
          </w:p>
        </w:tc>
        <w:tc>
          <w:tcPr>
            <w:tcW w:w="2724"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574873E2">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国际人权导论：理论、法律与实践</w:t>
            </w:r>
          </w:p>
        </w:tc>
      </w:tr>
      <w:tr w14:paraId="0992C1A8">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885"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54075257">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LL105</w:t>
            </w:r>
          </w:p>
        </w:tc>
        <w:tc>
          <w:tcPr>
            <w:tcW w:w="4912"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6BB9B17A">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International Law: Contemporary Issues</w:t>
            </w:r>
          </w:p>
        </w:tc>
        <w:tc>
          <w:tcPr>
            <w:tcW w:w="2724"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0ABC46D9">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国际法：当代议题</w:t>
            </w:r>
          </w:p>
        </w:tc>
      </w:tr>
      <w:tr w14:paraId="74200BEA">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885"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6B4F486C">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LL110</w:t>
            </w:r>
          </w:p>
        </w:tc>
        <w:tc>
          <w:tcPr>
            <w:tcW w:w="4912"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795E426F">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Tax, Justice and the Economy</w:t>
            </w:r>
          </w:p>
        </w:tc>
        <w:tc>
          <w:tcPr>
            <w:tcW w:w="2724"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51104E3F">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税收、正义与经济</w:t>
            </w:r>
          </w:p>
        </w:tc>
      </w:tr>
      <w:tr w14:paraId="0CDFD738">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885"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45043D94">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LL135</w:t>
            </w:r>
          </w:p>
        </w:tc>
        <w:tc>
          <w:tcPr>
            <w:tcW w:w="4912"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6705433A">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Introduction to Corporate Law and Governance</w:t>
            </w:r>
          </w:p>
        </w:tc>
        <w:tc>
          <w:tcPr>
            <w:tcW w:w="2724"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6AB3E998">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公司法与治理导论</w:t>
            </w:r>
          </w:p>
        </w:tc>
      </w:tr>
      <w:tr w14:paraId="11661244">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885"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2D030FF6">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LL200</w:t>
            </w:r>
          </w:p>
        </w:tc>
        <w:tc>
          <w:tcPr>
            <w:tcW w:w="4912"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497EAB90">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Competition Law and Policy: Contemporary Challenges in a Global Market</w:t>
            </w:r>
          </w:p>
        </w:tc>
        <w:tc>
          <w:tcPr>
            <w:tcW w:w="2724"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51F48DB9">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竞争法与政策：全球市场中的当代挑战</w:t>
            </w:r>
          </w:p>
        </w:tc>
      </w:tr>
      <w:tr w14:paraId="58DF98B8">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885"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1F82FDA9">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LL201</w:t>
            </w:r>
          </w:p>
        </w:tc>
        <w:tc>
          <w:tcPr>
            <w:tcW w:w="4912"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2E835CE9">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Intellectual Property Law</w:t>
            </w:r>
          </w:p>
        </w:tc>
        <w:tc>
          <w:tcPr>
            <w:tcW w:w="2724"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4B8A88E6">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知识产权法</w:t>
            </w:r>
          </w:p>
        </w:tc>
      </w:tr>
      <w:tr w14:paraId="5FB7BED7">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885"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631C9261">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LL202</w:t>
            </w:r>
          </w:p>
        </w:tc>
        <w:tc>
          <w:tcPr>
            <w:tcW w:w="4912"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5C38F60C">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Commercial Law</w:t>
            </w:r>
          </w:p>
        </w:tc>
        <w:tc>
          <w:tcPr>
            <w:tcW w:w="2724"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7808B288">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商法</w:t>
            </w:r>
          </w:p>
        </w:tc>
      </w:tr>
      <w:tr w14:paraId="67BE7C28">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885"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0B03082F">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LL203</w:t>
            </w:r>
          </w:p>
        </w:tc>
        <w:tc>
          <w:tcPr>
            <w:tcW w:w="4912"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57E7A7C5">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International Commercial Litigation and Arbitration</w:t>
            </w:r>
          </w:p>
        </w:tc>
        <w:tc>
          <w:tcPr>
            <w:tcW w:w="2724"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7DD8BFBA">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国际商事诉讼与仲裁</w:t>
            </w:r>
          </w:p>
        </w:tc>
      </w:tr>
      <w:tr w14:paraId="02A92C2F">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885"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25BAF709">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LL204</w:t>
            </w:r>
          </w:p>
        </w:tc>
        <w:tc>
          <w:tcPr>
            <w:tcW w:w="4912"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30621BB1">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The Foundations of AI Law and Regulation</w:t>
            </w:r>
          </w:p>
        </w:tc>
        <w:tc>
          <w:tcPr>
            <w:tcW w:w="2724"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1659BDDD">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人工智能法律与监管基础</w:t>
            </w:r>
          </w:p>
        </w:tc>
      </w:tr>
      <w:tr w14:paraId="5D063FA7">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885"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5A9898C5">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LL206</w:t>
            </w:r>
          </w:p>
        </w:tc>
        <w:tc>
          <w:tcPr>
            <w:tcW w:w="4912"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3E6435B9">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Introduction to Financial Regulation</w:t>
            </w:r>
          </w:p>
        </w:tc>
        <w:tc>
          <w:tcPr>
            <w:tcW w:w="2724"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58882F22">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金融监管导论</w:t>
            </w:r>
          </w:p>
        </w:tc>
      </w:tr>
      <w:tr w14:paraId="2AE2DE88">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885"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089CFE31">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LL209</w:t>
            </w:r>
          </w:p>
        </w:tc>
        <w:tc>
          <w:tcPr>
            <w:tcW w:w="4912"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6B502111">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Law, Society and Morality: Contemporary Controversies in the Courts</w:t>
            </w:r>
          </w:p>
        </w:tc>
        <w:tc>
          <w:tcPr>
            <w:tcW w:w="2724"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72199A07">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法律、社会与道德：法院中的当代争议</w:t>
            </w:r>
          </w:p>
        </w:tc>
      </w:tr>
      <w:tr w14:paraId="16264D85">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885"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2BF258E4">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LL214</w:t>
            </w:r>
          </w:p>
        </w:tc>
        <w:tc>
          <w:tcPr>
            <w:tcW w:w="4912"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4FC67275">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Applied AI and Law</w:t>
            </w:r>
          </w:p>
        </w:tc>
        <w:tc>
          <w:tcPr>
            <w:tcW w:w="2724"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0B4009EB">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应用人工智能与法律</w:t>
            </w:r>
          </w:p>
        </w:tc>
      </w:tr>
      <w:tr w14:paraId="091ADEB8">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885"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026B3AB6">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LL215</w:t>
            </w:r>
          </w:p>
        </w:tc>
        <w:tc>
          <w:tcPr>
            <w:tcW w:w="4912"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20F7F84C">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New Frontiers in Law Enforcement, Crime and Punishment</w:t>
            </w:r>
          </w:p>
        </w:tc>
        <w:tc>
          <w:tcPr>
            <w:tcW w:w="2724"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4D89753C">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执法、犯罪与惩罚的新前沿</w:t>
            </w:r>
          </w:p>
        </w:tc>
      </w:tr>
      <w:tr w14:paraId="0DCBCEF2">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885"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3E7BB3F7">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LL300</w:t>
            </w:r>
          </w:p>
        </w:tc>
        <w:tc>
          <w:tcPr>
            <w:tcW w:w="4912"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0E39D54C">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Advanced Negotiation and Mediation</w:t>
            </w:r>
          </w:p>
        </w:tc>
        <w:tc>
          <w:tcPr>
            <w:tcW w:w="2724"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75954261">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高级谈判与调解</w:t>
            </w:r>
          </w:p>
        </w:tc>
      </w:tr>
      <w:tr w14:paraId="3589AFC7">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885"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62CA0DDA">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LL301</w:t>
            </w:r>
          </w:p>
        </w:tc>
        <w:tc>
          <w:tcPr>
            <w:tcW w:w="4912"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7FEDAE17">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Corporate Finance Law</w:t>
            </w:r>
          </w:p>
        </w:tc>
        <w:tc>
          <w:tcPr>
            <w:tcW w:w="2724" w:type="dxa"/>
            <w:tcBorders>
              <w:top w:val="single" w:color="auto" w:sz="4" w:space="0"/>
              <w:left w:val="single" w:color="auto" w:sz="4" w:space="0"/>
              <w:bottom w:val="single" w:color="auto" w:sz="4" w:space="0"/>
              <w:right w:val="single" w:color="auto" w:sz="4" w:space="0"/>
            </w:tcBorders>
            <w:shd w:val="clear" w:color="auto" w:fill="FFFFFF"/>
            <w:noWrap w:val="0"/>
            <w:tcMar>
              <w:top w:w="90" w:type="dxa"/>
              <w:left w:w="135" w:type="dxa"/>
              <w:bottom w:w="90" w:type="dxa"/>
              <w:right w:w="135" w:type="dxa"/>
            </w:tcMar>
            <w:vAlign w:val="center"/>
          </w:tcPr>
          <w:p w14:paraId="07EFC38D">
            <w:pPr>
              <w:widowControl w:val="0"/>
              <w:numPr>
                <w:ilvl w:val="0"/>
                <w:numId w:val="0"/>
              </w:numPr>
              <w:snapToGrid w:val="0"/>
              <w:ind w:left="0" w:leftChars="0" w:right="0" w:rightChars="0" w:firstLine="0" w:firstLineChars="0"/>
              <w:jc w:val="center"/>
              <w:rPr>
                <w:rFonts w:hint="default" w:ascii="Calibri" w:hAnsi="Calibri" w:eastAsia="宋体" w:cs="Times New Roman"/>
                <w:kern w:val="2"/>
                <w:sz w:val="21"/>
                <w:szCs w:val="24"/>
                <w:lang w:val="en-US" w:eastAsia="zh-CN" w:bidi="ar-SA"/>
              </w:rPr>
            </w:pPr>
            <w:r>
              <w:rPr>
                <w:rFonts w:hint="default" w:ascii="Calibri" w:hAnsi="Calibri" w:eastAsia="宋体" w:cs="Times New Roman"/>
                <w:kern w:val="2"/>
                <w:sz w:val="21"/>
                <w:szCs w:val="24"/>
                <w:lang w:val="en-US" w:eastAsia="zh-CN" w:bidi="ar-SA"/>
              </w:rPr>
              <w:t>公司金融法</w:t>
            </w:r>
          </w:p>
        </w:tc>
      </w:tr>
    </w:tbl>
    <w:p w14:paraId="46D4928D">
      <w:pPr>
        <w:pStyle w:val="19"/>
        <w:widowControl w:val="0"/>
        <w:numPr>
          <w:ilvl w:val="0"/>
          <w:numId w:val="0"/>
        </w:numPr>
        <w:spacing w:line="360" w:lineRule="auto"/>
        <w:jc w:val="left"/>
        <w:rPr>
          <w:rFonts w:hint="default" w:ascii="Calibri" w:hAnsi="Calibri" w:cs="Calibri"/>
          <w:szCs w:val="21"/>
          <w:lang w:val="en-US" w:eastAsia="zh-CN"/>
        </w:rPr>
      </w:pPr>
    </w:p>
    <w:sectPr>
      <w:headerReference r:id="rId3" w:type="default"/>
      <w:pgSz w:w="11906" w:h="16838"/>
      <w:pgMar w:top="2025" w:right="1800" w:bottom="1440" w:left="1800" w:header="737"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388F44">
    <w:pPr>
      <w:spacing w:line="140" w:lineRule="atLeast"/>
      <w:ind w:right="-336" w:rightChars="-160"/>
      <w:rPr>
        <w:rFonts w:ascii="微软雅黑" w:hAnsi="微软雅黑" w:eastAsia="微软雅黑"/>
        <w:sz w:val="30"/>
        <w:szCs w:val="30"/>
        <w:lang w:val="en-C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C7BA294"/>
    <w:multiLevelType w:val="singleLevel"/>
    <w:tmpl w:val="EC7BA294"/>
    <w:lvl w:ilvl="0" w:tentative="0">
      <w:start w:val="1"/>
      <w:numFmt w:val="decimal"/>
      <w:suff w:val="space"/>
      <w:lvlText w:val="%1."/>
      <w:lvlJc w:val="left"/>
    </w:lvl>
  </w:abstractNum>
  <w:abstractNum w:abstractNumId="1">
    <w:nsid w:val="13931E04"/>
    <w:multiLevelType w:val="multilevel"/>
    <w:tmpl w:val="13931E04"/>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2">
    <w:nsid w:val="46834264"/>
    <w:multiLevelType w:val="multilevel"/>
    <w:tmpl w:val="46834264"/>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cs="Wingdings"/>
      </w:rPr>
    </w:lvl>
    <w:lvl w:ilvl="2" w:tentative="0">
      <w:start w:val="1"/>
      <w:numFmt w:val="bullet"/>
      <w:lvlText w:val=""/>
      <w:lvlJc w:val="left"/>
      <w:pPr>
        <w:ind w:left="1680" w:hanging="420"/>
      </w:pPr>
      <w:rPr>
        <w:rFonts w:hint="default" w:ascii="Wingdings" w:hAnsi="Wingdings" w:cs="Wingdings"/>
      </w:rPr>
    </w:lvl>
    <w:lvl w:ilvl="3" w:tentative="0">
      <w:start w:val="1"/>
      <w:numFmt w:val="bullet"/>
      <w:lvlText w:val=""/>
      <w:lvlJc w:val="left"/>
      <w:pPr>
        <w:ind w:left="2100" w:hanging="420"/>
      </w:pPr>
      <w:rPr>
        <w:rFonts w:hint="default" w:ascii="Wingdings" w:hAnsi="Wingdings" w:cs="Wingdings"/>
      </w:rPr>
    </w:lvl>
    <w:lvl w:ilvl="4" w:tentative="0">
      <w:start w:val="1"/>
      <w:numFmt w:val="bullet"/>
      <w:lvlText w:val=""/>
      <w:lvlJc w:val="left"/>
      <w:pPr>
        <w:ind w:left="2520" w:hanging="420"/>
      </w:pPr>
      <w:rPr>
        <w:rFonts w:hint="default" w:ascii="Wingdings" w:hAnsi="Wingdings" w:cs="Wingdings"/>
      </w:rPr>
    </w:lvl>
    <w:lvl w:ilvl="5" w:tentative="0">
      <w:start w:val="1"/>
      <w:numFmt w:val="bullet"/>
      <w:lvlText w:val=""/>
      <w:lvlJc w:val="left"/>
      <w:pPr>
        <w:ind w:left="2940" w:hanging="420"/>
      </w:pPr>
      <w:rPr>
        <w:rFonts w:hint="default" w:ascii="Wingdings" w:hAnsi="Wingdings" w:cs="Wingdings"/>
      </w:rPr>
    </w:lvl>
    <w:lvl w:ilvl="6" w:tentative="0">
      <w:start w:val="1"/>
      <w:numFmt w:val="bullet"/>
      <w:lvlText w:val=""/>
      <w:lvlJc w:val="left"/>
      <w:pPr>
        <w:ind w:left="3360" w:hanging="420"/>
      </w:pPr>
      <w:rPr>
        <w:rFonts w:hint="default" w:ascii="Wingdings" w:hAnsi="Wingdings" w:cs="Wingdings"/>
      </w:rPr>
    </w:lvl>
    <w:lvl w:ilvl="7" w:tentative="0">
      <w:start w:val="1"/>
      <w:numFmt w:val="bullet"/>
      <w:lvlText w:val=""/>
      <w:lvlJc w:val="left"/>
      <w:pPr>
        <w:ind w:left="3780" w:hanging="420"/>
      </w:pPr>
      <w:rPr>
        <w:rFonts w:hint="default" w:ascii="Wingdings" w:hAnsi="Wingdings" w:cs="Wingdings"/>
      </w:rPr>
    </w:lvl>
    <w:lvl w:ilvl="8" w:tentative="0">
      <w:start w:val="1"/>
      <w:numFmt w:val="bullet"/>
      <w:lvlText w:val=""/>
      <w:lvlJc w:val="left"/>
      <w:pPr>
        <w:ind w:left="4200" w:hanging="420"/>
      </w:pPr>
      <w:rPr>
        <w:rFonts w:hint="default" w:ascii="Wingdings" w:hAnsi="Wingdings" w:cs="Wingdings"/>
      </w:rPr>
    </w:lvl>
  </w:abstractNum>
  <w:abstractNum w:abstractNumId="3">
    <w:nsid w:val="61B36ACD"/>
    <w:multiLevelType w:val="multilevel"/>
    <w:tmpl w:val="61B36ACD"/>
    <w:lvl w:ilvl="0" w:tentative="0">
      <w:start w:val="1"/>
      <w:numFmt w:val="decimal"/>
      <w:lvlText w:val="%1）"/>
      <w:lvlJc w:val="left"/>
      <w:pPr>
        <w:ind w:left="570" w:hanging="360"/>
      </w:pPr>
      <w:rPr>
        <w:rFonts w:hint="default"/>
      </w:rPr>
    </w:lvl>
    <w:lvl w:ilvl="1" w:tentative="0">
      <w:start w:val="1"/>
      <w:numFmt w:val="lowerLetter"/>
      <w:lvlText w:val="%2)"/>
      <w:lvlJc w:val="left"/>
      <w:pPr>
        <w:ind w:left="1050" w:hanging="420"/>
      </w:pPr>
    </w:lvl>
    <w:lvl w:ilvl="2" w:tentative="0">
      <w:start w:val="1"/>
      <w:numFmt w:val="lowerRoman"/>
      <w:lvlText w:val="%3."/>
      <w:lvlJc w:val="right"/>
      <w:pPr>
        <w:ind w:left="1470" w:hanging="420"/>
      </w:pPr>
    </w:lvl>
    <w:lvl w:ilvl="3" w:tentative="0">
      <w:start w:val="1"/>
      <w:numFmt w:val="decimal"/>
      <w:lvlText w:val="%4."/>
      <w:lvlJc w:val="left"/>
      <w:pPr>
        <w:ind w:left="1890" w:hanging="420"/>
      </w:pPr>
    </w:lvl>
    <w:lvl w:ilvl="4" w:tentative="0">
      <w:start w:val="1"/>
      <w:numFmt w:val="lowerLetter"/>
      <w:lvlText w:val="%5)"/>
      <w:lvlJc w:val="left"/>
      <w:pPr>
        <w:ind w:left="2310" w:hanging="420"/>
      </w:pPr>
    </w:lvl>
    <w:lvl w:ilvl="5" w:tentative="0">
      <w:start w:val="1"/>
      <w:numFmt w:val="lowerRoman"/>
      <w:lvlText w:val="%6."/>
      <w:lvlJc w:val="right"/>
      <w:pPr>
        <w:ind w:left="2730" w:hanging="420"/>
      </w:pPr>
    </w:lvl>
    <w:lvl w:ilvl="6" w:tentative="0">
      <w:start w:val="1"/>
      <w:numFmt w:val="decimal"/>
      <w:lvlText w:val="%7."/>
      <w:lvlJc w:val="left"/>
      <w:pPr>
        <w:ind w:left="3150" w:hanging="420"/>
      </w:pPr>
    </w:lvl>
    <w:lvl w:ilvl="7" w:tentative="0">
      <w:start w:val="1"/>
      <w:numFmt w:val="lowerLetter"/>
      <w:lvlText w:val="%8)"/>
      <w:lvlJc w:val="left"/>
      <w:pPr>
        <w:ind w:left="3570" w:hanging="420"/>
      </w:pPr>
    </w:lvl>
    <w:lvl w:ilvl="8" w:tentative="0">
      <w:start w:val="1"/>
      <w:numFmt w:val="lowerRoman"/>
      <w:lvlText w:val="%9."/>
      <w:lvlJc w:val="right"/>
      <w:pPr>
        <w:ind w:left="3990" w:hanging="420"/>
      </w:pPr>
    </w:lvl>
  </w:abstractNum>
  <w:abstractNum w:abstractNumId="4">
    <w:nsid w:val="6D50662A"/>
    <w:multiLevelType w:val="multilevel"/>
    <w:tmpl w:val="6D50662A"/>
    <w:lvl w:ilvl="0" w:tentative="0">
      <w:start w:val="1"/>
      <w:numFmt w:val="decimal"/>
      <w:lvlText w:val="%1)"/>
      <w:lvlJc w:val="left"/>
      <w:pPr>
        <w:ind w:left="630" w:hanging="420"/>
      </w:pPr>
      <w:rPr>
        <w:rFonts w:hint="default"/>
        <w:b w:val="0"/>
        <w:bCs w:val="0"/>
      </w:rPr>
    </w:lvl>
    <w:lvl w:ilvl="1" w:tentative="0">
      <w:start w:val="1"/>
      <w:numFmt w:val="lowerLetter"/>
      <w:lvlText w:val="%2)"/>
      <w:lvlJc w:val="left"/>
      <w:pPr>
        <w:ind w:left="1050" w:hanging="420"/>
      </w:pPr>
    </w:lvl>
    <w:lvl w:ilvl="2" w:tentative="0">
      <w:start w:val="1"/>
      <w:numFmt w:val="lowerRoman"/>
      <w:lvlText w:val="%3."/>
      <w:lvlJc w:val="right"/>
      <w:pPr>
        <w:ind w:left="1470" w:hanging="420"/>
      </w:pPr>
    </w:lvl>
    <w:lvl w:ilvl="3" w:tentative="0">
      <w:start w:val="1"/>
      <w:numFmt w:val="decimal"/>
      <w:lvlText w:val="%4."/>
      <w:lvlJc w:val="left"/>
      <w:pPr>
        <w:ind w:left="1890" w:hanging="420"/>
      </w:pPr>
    </w:lvl>
    <w:lvl w:ilvl="4" w:tentative="0">
      <w:start w:val="1"/>
      <w:numFmt w:val="lowerLetter"/>
      <w:lvlText w:val="%5)"/>
      <w:lvlJc w:val="left"/>
      <w:pPr>
        <w:ind w:left="2310" w:hanging="420"/>
      </w:pPr>
    </w:lvl>
    <w:lvl w:ilvl="5" w:tentative="0">
      <w:start w:val="1"/>
      <w:numFmt w:val="lowerRoman"/>
      <w:lvlText w:val="%6."/>
      <w:lvlJc w:val="right"/>
      <w:pPr>
        <w:ind w:left="2730" w:hanging="420"/>
      </w:pPr>
    </w:lvl>
    <w:lvl w:ilvl="6" w:tentative="0">
      <w:start w:val="1"/>
      <w:numFmt w:val="decimal"/>
      <w:lvlText w:val="%7."/>
      <w:lvlJc w:val="left"/>
      <w:pPr>
        <w:ind w:left="3150" w:hanging="420"/>
      </w:pPr>
    </w:lvl>
    <w:lvl w:ilvl="7" w:tentative="0">
      <w:start w:val="1"/>
      <w:numFmt w:val="lowerLetter"/>
      <w:lvlText w:val="%8)"/>
      <w:lvlJc w:val="left"/>
      <w:pPr>
        <w:ind w:left="3570" w:hanging="420"/>
      </w:pPr>
    </w:lvl>
    <w:lvl w:ilvl="8" w:tentative="0">
      <w:start w:val="1"/>
      <w:numFmt w:val="lowerRoman"/>
      <w:lvlText w:val="%9."/>
      <w:lvlJc w:val="right"/>
      <w:pPr>
        <w:ind w:left="3990" w:hanging="420"/>
      </w:pPr>
    </w:lvl>
  </w:abstractNum>
  <w:abstractNum w:abstractNumId="5">
    <w:nsid w:val="77F013D8"/>
    <w:multiLevelType w:val="multilevel"/>
    <w:tmpl w:val="77F013D8"/>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1"/>
  </w:num>
  <w:num w:numId="3">
    <w:abstractNumId w:val="5"/>
  </w:num>
  <w:num w:numId="4">
    <w:abstractNumId w:val="3"/>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0A8F"/>
    <w:rsid w:val="00001149"/>
    <w:rsid w:val="000035D7"/>
    <w:rsid w:val="00010F31"/>
    <w:rsid w:val="00013BA1"/>
    <w:rsid w:val="000147FF"/>
    <w:rsid w:val="000169DD"/>
    <w:rsid w:val="00022AFD"/>
    <w:rsid w:val="000230BD"/>
    <w:rsid w:val="000236D2"/>
    <w:rsid w:val="00024C64"/>
    <w:rsid w:val="00025206"/>
    <w:rsid w:val="0003068E"/>
    <w:rsid w:val="00030A02"/>
    <w:rsid w:val="00031403"/>
    <w:rsid w:val="000362BD"/>
    <w:rsid w:val="000402B0"/>
    <w:rsid w:val="00041148"/>
    <w:rsid w:val="00041BDA"/>
    <w:rsid w:val="00044599"/>
    <w:rsid w:val="0005187E"/>
    <w:rsid w:val="000519A2"/>
    <w:rsid w:val="0005389A"/>
    <w:rsid w:val="00055729"/>
    <w:rsid w:val="0006181E"/>
    <w:rsid w:val="00065242"/>
    <w:rsid w:val="000675A7"/>
    <w:rsid w:val="000820F9"/>
    <w:rsid w:val="0009206E"/>
    <w:rsid w:val="000954F4"/>
    <w:rsid w:val="000A0A86"/>
    <w:rsid w:val="000A248D"/>
    <w:rsid w:val="000A2A22"/>
    <w:rsid w:val="000A4030"/>
    <w:rsid w:val="000A5251"/>
    <w:rsid w:val="000B1A29"/>
    <w:rsid w:val="000C2F7C"/>
    <w:rsid w:val="000C2FF5"/>
    <w:rsid w:val="000C3F5B"/>
    <w:rsid w:val="000C4E56"/>
    <w:rsid w:val="000C5C18"/>
    <w:rsid w:val="000C7F9A"/>
    <w:rsid w:val="000D2EEA"/>
    <w:rsid w:val="000E1209"/>
    <w:rsid w:val="000E180D"/>
    <w:rsid w:val="000F168E"/>
    <w:rsid w:val="000F6E7C"/>
    <w:rsid w:val="001013E1"/>
    <w:rsid w:val="0010196F"/>
    <w:rsid w:val="001051AF"/>
    <w:rsid w:val="00106BA3"/>
    <w:rsid w:val="00110B1F"/>
    <w:rsid w:val="00110EDA"/>
    <w:rsid w:val="0011231F"/>
    <w:rsid w:val="00112EFC"/>
    <w:rsid w:val="001131EA"/>
    <w:rsid w:val="00116EF3"/>
    <w:rsid w:val="00120A5E"/>
    <w:rsid w:val="0012340B"/>
    <w:rsid w:val="0012488E"/>
    <w:rsid w:val="00124B0D"/>
    <w:rsid w:val="00127FE8"/>
    <w:rsid w:val="00134011"/>
    <w:rsid w:val="00135F93"/>
    <w:rsid w:val="0013686A"/>
    <w:rsid w:val="00143E74"/>
    <w:rsid w:val="00146AB9"/>
    <w:rsid w:val="00151E96"/>
    <w:rsid w:val="00167799"/>
    <w:rsid w:val="00170451"/>
    <w:rsid w:val="001738F0"/>
    <w:rsid w:val="00176F21"/>
    <w:rsid w:val="00182E04"/>
    <w:rsid w:val="001834A2"/>
    <w:rsid w:val="00186190"/>
    <w:rsid w:val="001869B8"/>
    <w:rsid w:val="00192C0F"/>
    <w:rsid w:val="00196CB5"/>
    <w:rsid w:val="001A0C7A"/>
    <w:rsid w:val="001A281F"/>
    <w:rsid w:val="001A4E99"/>
    <w:rsid w:val="001A7D56"/>
    <w:rsid w:val="001B1369"/>
    <w:rsid w:val="001B1730"/>
    <w:rsid w:val="001B49B3"/>
    <w:rsid w:val="001C1A51"/>
    <w:rsid w:val="001C3481"/>
    <w:rsid w:val="001C6985"/>
    <w:rsid w:val="001D4042"/>
    <w:rsid w:val="001D4EF4"/>
    <w:rsid w:val="001E31D7"/>
    <w:rsid w:val="001E5D98"/>
    <w:rsid w:val="001E7571"/>
    <w:rsid w:val="001F00DB"/>
    <w:rsid w:val="001F5524"/>
    <w:rsid w:val="00202030"/>
    <w:rsid w:val="00203BFF"/>
    <w:rsid w:val="002133F2"/>
    <w:rsid w:val="0021711E"/>
    <w:rsid w:val="00220E2D"/>
    <w:rsid w:val="0022214B"/>
    <w:rsid w:val="0022260C"/>
    <w:rsid w:val="002274D9"/>
    <w:rsid w:val="00231B5A"/>
    <w:rsid w:val="00242260"/>
    <w:rsid w:val="002441C6"/>
    <w:rsid w:val="002449A1"/>
    <w:rsid w:val="00251642"/>
    <w:rsid w:val="00254885"/>
    <w:rsid w:val="00255140"/>
    <w:rsid w:val="00261406"/>
    <w:rsid w:val="00261C11"/>
    <w:rsid w:val="00271BCB"/>
    <w:rsid w:val="00275270"/>
    <w:rsid w:val="0028056A"/>
    <w:rsid w:val="002806E5"/>
    <w:rsid w:val="002852EE"/>
    <w:rsid w:val="0029179F"/>
    <w:rsid w:val="00292326"/>
    <w:rsid w:val="00295361"/>
    <w:rsid w:val="00296348"/>
    <w:rsid w:val="00297E1A"/>
    <w:rsid w:val="002A1734"/>
    <w:rsid w:val="002A402F"/>
    <w:rsid w:val="002B61DD"/>
    <w:rsid w:val="002B7076"/>
    <w:rsid w:val="002C2028"/>
    <w:rsid w:val="002C229B"/>
    <w:rsid w:val="002C27D4"/>
    <w:rsid w:val="002C571A"/>
    <w:rsid w:val="002C6AEB"/>
    <w:rsid w:val="002C722D"/>
    <w:rsid w:val="002D04D0"/>
    <w:rsid w:val="002D76B2"/>
    <w:rsid w:val="002E0E9B"/>
    <w:rsid w:val="002E1476"/>
    <w:rsid w:val="002E3299"/>
    <w:rsid w:val="002E4985"/>
    <w:rsid w:val="002E64CC"/>
    <w:rsid w:val="002F1A53"/>
    <w:rsid w:val="002F314E"/>
    <w:rsid w:val="002F3568"/>
    <w:rsid w:val="002F7AB9"/>
    <w:rsid w:val="0030157A"/>
    <w:rsid w:val="00302995"/>
    <w:rsid w:val="00303D3D"/>
    <w:rsid w:val="0031712B"/>
    <w:rsid w:val="00321717"/>
    <w:rsid w:val="00321D5F"/>
    <w:rsid w:val="00333C15"/>
    <w:rsid w:val="00334538"/>
    <w:rsid w:val="003354A1"/>
    <w:rsid w:val="003423E0"/>
    <w:rsid w:val="00342D9D"/>
    <w:rsid w:val="00342E7E"/>
    <w:rsid w:val="003643BE"/>
    <w:rsid w:val="0037277F"/>
    <w:rsid w:val="003738EA"/>
    <w:rsid w:val="00375491"/>
    <w:rsid w:val="003822A8"/>
    <w:rsid w:val="00383DCC"/>
    <w:rsid w:val="00386A4E"/>
    <w:rsid w:val="00386C51"/>
    <w:rsid w:val="00387362"/>
    <w:rsid w:val="00390FCA"/>
    <w:rsid w:val="00394A95"/>
    <w:rsid w:val="00396306"/>
    <w:rsid w:val="00397742"/>
    <w:rsid w:val="003B4151"/>
    <w:rsid w:val="003B669C"/>
    <w:rsid w:val="003B786E"/>
    <w:rsid w:val="003C6A2D"/>
    <w:rsid w:val="003C6EF7"/>
    <w:rsid w:val="003D0F7B"/>
    <w:rsid w:val="003D0FE9"/>
    <w:rsid w:val="003D2BCE"/>
    <w:rsid w:val="003D4037"/>
    <w:rsid w:val="003D4529"/>
    <w:rsid w:val="003D4B46"/>
    <w:rsid w:val="003D5F48"/>
    <w:rsid w:val="003E01B3"/>
    <w:rsid w:val="003E3199"/>
    <w:rsid w:val="003F050A"/>
    <w:rsid w:val="003F059B"/>
    <w:rsid w:val="003F4EDA"/>
    <w:rsid w:val="003F50D1"/>
    <w:rsid w:val="003F5F88"/>
    <w:rsid w:val="003F73EF"/>
    <w:rsid w:val="00404963"/>
    <w:rsid w:val="0041273F"/>
    <w:rsid w:val="0042039B"/>
    <w:rsid w:val="00426325"/>
    <w:rsid w:val="00430381"/>
    <w:rsid w:val="00437101"/>
    <w:rsid w:val="00437A33"/>
    <w:rsid w:val="00437B77"/>
    <w:rsid w:val="004421B1"/>
    <w:rsid w:val="00442AE1"/>
    <w:rsid w:val="004469A3"/>
    <w:rsid w:val="004472FC"/>
    <w:rsid w:val="0045270B"/>
    <w:rsid w:val="00454C45"/>
    <w:rsid w:val="004624BE"/>
    <w:rsid w:val="00465A92"/>
    <w:rsid w:val="004674CE"/>
    <w:rsid w:val="004679CE"/>
    <w:rsid w:val="00470270"/>
    <w:rsid w:val="00471CBF"/>
    <w:rsid w:val="00481273"/>
    <w:rsid w:val="00485AD1"/>
    <w:rsid w:val="004932B6"/>
    <w:rsid w:val="004946E0"/>
    <w:rsid w:val="00495E6D"/>
    <w:rsid w:val="004A1602"/>
    <w:rsid w:val="004A51A8"/>
    <w:rsid w:val="004B3073"/>
    <w:rsid w:val="004B4D89"/>
    <w:rsid w:val="004B516E"/>
    <w:rsid w:val="004C0E26"/>
    <w:rsid w:val="004C343D"/>
    <w:rsid w:val="004C5277"/>
    <w:rsid w:val="004C6632"/>
    <w:rsid w:val="004D3884"/>
    <w:rsid w:val="004D498F"/>
    <w:rsid w:val="004D5BBA"/>
    <w:rsid w:val="004E0748"/>
    <w:rsid w:val="004E728E"/>
    <w:rsid w:val="004F0AAB"/>
    <w:rsid w:val="004F743F"/>
    <w:rsid w:val="004F7C1B"/>
    <w:rsid w:val="00500A8F"/>
    <w:rsid w:val="00504529"/>
    <w:rsid w:val="005060F9"/>
    <w:rsid w:val="00510599"/>
    <w:rsid w:val="00512BAE"/>
    <w:rsid w:val="005167D4"/>
    <w:rsid w:val="00520C0E"/>
    <w:rsid w:val="00522EAE"/>
    <w:rsid w:val="005250F2"/>
    <w:rsid w:val="00525703"/>
    <w:rsid w:val="005326B5"/>
    <w:rsid w:val="005339BB"/>
    <w:rsid w:val="00536F45"/>
    <w:rsid w:val="00537EE6"/>
    <w:rsid w:val="00547E75"/>
    <w:rsid w:val="0055315D"/>
    <w:rsid w:val="00555016"/>
    <w:rsid w:val="00556212"/>
    <w:rsid w:val="00563F7F"/>
    <w:rsid w:val="0057138A"/>
    <w:rsid w:val="00572B6E"/>
    <w:rsid w:val="00573C15"/>
    <w:rsid w:val="0057494B"/>
    <w:rsid w:val="005762B0"/>
    <w:rsid w:val="00584716"/>
    <w:rsid w:val="005849E3"/>
    <w:rsid w:val="00584E4F"/>
    <w:rsid w:val="00584E6C"/>
    <w:rsid w:val="00586D6C"/>
    <w:rsid w:val="00587D18"/>
    <w:rsid w:val="00596D1A"/>
    <w:rsid w:val="005A31F5"/>
    <w:rsid w:val="005A65C8"/>
    <w:rsid w:val="005B69C2"/>
    <w:rsid w:val="005C27A1"/>
    <w:rsid w:val="005C43F0"/>
    <w:rsid w:val="005C7CC0"/>
    <w:rsid w:val="005D0683"/>
    <w:rsid w:val="005E5A41"/>
    <w:rsid w:val="005E674A"/>
    <w:rsid w:val="005E6E17"/>
    <w:rsid w:val="005F6112"/>
    <w:rsid w:val="00606AA2"/>
    <w:rsid w:val="00606C4F"/>
    <w:rsid w:val="00615CF7"/>
    <w:rsid w:val="00617A76"/>
    <w:rsid w:val="00621ED0"/>
    <w:rsid w:val="00622238"/>
    <w:rsid w:val="00624494"/>
    <w:rsid w:val="00624BB2"/>
    <w:rsid w:val="00632329"/>
    <w:rsid w:val="00637AD1"/>
    <w:rsid w:val="006421C2"/>
    <w:rsid w:val="006452B3"/>
    <w:rsid w:val="0066295A"/>
    <w:rsid w:val="00663035"/>
    <w:rsid w:val="00664055"/>
    <w:rsid w:val="00666CF9"/>
    <w:rsid w:val="00667457"/>
    <w:rsid w:val="00667A61"/>
    <w:rsid w:val="00670ED6"/>
    <w:rsid w:val="0067541F"/>
    <w:rsid w:val="00682105"/>
    <w:rsid w:val="006858D5"/>
    <w:rsid w:val="00687DBB"/>
    <w:rsid w:val="00696B1C"/>
    <w:rsid w:val="006A2B5F"/>
    <w:rsid w:val="006A439F"/>
    <w:rsid w:val="006A6A07"/>
    <w:rsid w:val="006A72B8"/>
    <w:rsid w:val="006B1E37"/>
    <w:rsid w:val="006C2070"/>
    <w:rsid w:val="006D5B15"/>
    <w:rsid w:val="006D642C"/>
    <w:rsid w:val="006F6895"/>
    <w:rsid w:val="00700EA9"/>
    <w:rsid w:val="0070255A"/>
    <w:rsid w:val="00705BEF"/>
    <w:rsid w:val="00706179"/>
    <w:rsid w:val="007113DD"/>
    <w:rsid w:val="00713EF9"/>
    <w:rsid w:val="0071430B"/>
    <w:rsid w:val="00720659"/>
    <w:rsid w:val="0072201D"/>
    <w:rsid w:val="007243E9"/>
    <w:rsid w:val="00730B61"/>
    <w:rsid w:val="00733292"/>
    <w:rsid w:val="007423FD"/>
    <w:rsid w:val="0076199E"/>
    <w:rsid w:val="007619AD"/>
    <w:rsid w:val="00762330"/>
    <w:rsid w:val="007640E0"/>
    <w:rsid w:val="007652B1"/>
    <w:rsid w:val="0076777F"/>
    <w:rsid w:val="00770616"/>
    <w:rsid w:val="00772E22"/>
    <w:rsid w:val="00775505"/>
    <w:rsid w:val="00776AE1"/>
    <w:rsid w:val="0078010F"/>
    <w:rsid w:val="00785C31"/>
    <w:rsid w:val="007970A2"/>
    <w:rsid w:val="007A01B4"/>
    <w:rsid w:val="007A03BE"/>
    <w:rsid w:val="007A07E5"/>
    <w:rsid w:val="007A385D"/>
    <w:rsid w:val="007A3E79"/>
    <w:rsid w:val="007A7362"/>
    <w:rsid w:val="007B5A17"/>
    <w:rsid w:val="007B7729"/>
    <w:rsid w:val="007C66DE"/>
    <w:rsid w:val="007D0768"/>
    <w:rsid w:val="007D224F"/>
    <w:rsid w:val="007D6B8F"/>
    <w:rsid w:val="007E0C8A"/>
    <w:rsid w:val="007E156F"/>
    <w:rsid w:val="007E2ACE"/>
    <w:rsid w:val="007E3816"/>
    <w:rsid w:val="007F262A"/>
    <w:rsid w:val="007F5700"/>
    <w:rsid w:val="00802548"/>
    <w:rsid w:val="00802957"/>
    <w:rsid w:val="008122CA"/>
    <w:rsid w:val="00814AA6"/>
    <w:rsid w:val="00823ADD"/>
    <w:rsid w:val="008267EE"/>
    <w:rsid w:val="0083050D"/>
    <w:rsid w:val="00832E9B"/>
    <w:rsid w:val="0083786A"/>
    <w:rsid w:val="00840178"/>
    <w:rsid w:val="0084297C"/>
    <w:rsid w:val="008432ED"/>
    <w:rsid w:val="00843F7D"/>
    <w:rsid w:val="008450F3"/>
    <w:rsid w:val="0086227D"/>
    <w:rsid w:val="00863FEE"/>
    <w:rsid w:val="008653E0"/>
    <w:rsid w:val="00865CF9"/>
    <w:rsid w:val="00866C18"/>
    <w:rsid w:val="00867B69"/>
    <w:rsid w:val="0088500C"/>
    <w:rsid w:val="0089014A"/>
    <w:rsid w:val="008902CF"/>
    <w:rsid w:val="008966E9"/>
    <w:rsid w:val="008A252D"/>
    <w:rsid w:val="008B4A3B"/>
    <w:rsid w:val="008B56E5"/>
    <w:rsid w:val="008C1F77"/>
    <w:rsid w:val="008C53F5"/>
    <w:rsid w:val="008D3CFE"/>
    <w:rsid w:val="008D5E6C"/>
    <w:rsid w:val="008D7F16"/>
    <w:rsid w:val="008E1E1E"/>
    <w:rsid w:val="008E4534"/>
    <w:rsid w:val="008E54DB"/>
    <w:rsid w:val="008F1045"/>
    <w:rsid w:val="008F171A"/>
    <w:rsid w:val="008F7734"/>
    <w:rsid w:val="009018E4"/>
    <w:rsid w:val="00903BED"/>
    <w:rsid w:val="00905613"/>
    <w:rsid w:val="00905BF1"/>
    <w:rsid w:val="00910970"/>
    <w:rsid w:val="00913572"/>
    <w:rsid w:val="009171E7"/>
    <w:rsid w:val="00917A3B"/>
    <w:rsid w:val="0092087F"/>
    <w:rsid w:val="0092377F"/>
    <w:rsid w:val="00930DF7"/>
    <w:rsid w:val="00936821"/>
    <w:rsid w:val="0094276A"/>
    <w:rsid w:val="00942C75"/>
    <w:rsid w:val="009466E4"/>
    <w:rsid w:val="0095092B"/>
    <w:rsid w:val="00951195"/>
    <w:rsid w:val="00952045"/>
    <w:rsid w:val="00952BA5"/>
    <w:rsid w:val="009554FB"/>
    <w:rsid w:val="00957EEC"/>
    <w:rsid w:val="009609B5"/>
    <w:rsid w:val="00963696"/>
    <w:rsid w:val="009642E6"/>
    <w:rsid w:val="009645E2"/>
    <w:rsid w:val="00965CCC"/>
    <w:rsid w:val="00972BCD"/>
    <w:rsid w:val="0097304E"/>
    <w:rsid w:val="0097647D"/>
    <w:rsid w:val="00983752"/>
    <w:rsid w:val="00983EF6"/>
    <w:rsid w:val="00990647"/>
    <w:rsid w:val="0099101F"/>
    <w:rsid w:val="009959F3"/>
    <w:rsid w:val="00996091"/>
    <w:rsid w:val="009A11C1"/>
    <w:rsid w:val="009A16FA"/>
    <w:rsid w:val="009A1CFD"/>
    <w:rsid w:val="009A27F7"/>
    <w:rsid w:val="009A292D"/>
    <w:rsid w:val="009A4CAF"/>
    <w:rsid w:val="009A69B5"/>
    <w:rsid w:val="009A6B36"/>
    <w:rsid w:val="009B0D73"/>
    <w:rsid w:val="009B1848"/>
    <w:rsid w:val="009B3167"/>
    <w:rsid w:val="009B682A"/>
    <w:rsid w:val="009C020C"/>
    <w:rsid w:val="009C17A4"/>
    <w:rsid w:val="009C35A3"/>
    <w:rsid w:val="009C5D67"/>
    <w:rsid w:val="009C7A2D"/>
    <w:rsid w:val="009C7CE4"/>
    <w:rsid w:val="009E4A3B"/>
    <w:rsid w:val="009F0653"/>
    <w:rsid w:val="009F7788"/>
    <w:rsid w:val="009F7FCB"/>
    <w:rsid w:val="00A00B17"/>
    <w:rsid w:val="00A03165"/>
    <w:rsid w:val="00A1042E"/>
    <w:rsid w:val="00A15965"/>
    <w:rsid w:val="00A1794D"/>
    <w:rsid w:val="00A207E1"/>
    <w:rsid w:val="00A220C6"/>
    <w:rsid w:val="00A2358C"/>
    <w:rsid w:val="00A2663A"/>
    <w:rsid w:val="00A309B6"/>
    <w:rsid w:val="00A31C85"/>
    <w:rsid w:val="00A32C2E"/>
    <w:rsid w:val="00A33A9E"/>
    <w:rsid w:val="00A41AEC"/>
    <w:rsid w:val="00A5437F"/>
    <w:rsid w:val="00A623DF"/>
    <w:rsid w:val="00A67A48"/>
    <w:rsid w:val="00A67B5E"/>
    <w:rsid w:val="00A72E16"/>
    <w:rsid w:val="00A76003"/>
    <w:rsid w:val="00A76D78"/>
    <w:rsid w:val="00A82ED7"/>
    <w:rsid w:val="00A83140"/>
    <w:rsid w:val="00A843DA"/>
    <w:rsid w:val="00A84830"/>
    <w:rsid w:val="00A90B22"/>
    <w:rsid w:val="00AA2334"/>
    <w:rsid w:val="00AA4DC4"/>
    <w:rsid w:val="00AB05C6"/>
    <w:rsid w:val="00AB66D7"/>
    <w:rsid w:val="00AC266D"/>
    <w:rsid w:val="00AC32C6"/>
    <w:rsid w:val="00AC36F0"/>
    <w:rsid w:val="00AD7BA1"/>
    <w:rsid w:val="00AE7DD0"/>
    <w:rsid w:val="00AF5247"/>
    <w:rsid w:val="00AF78C6"/>
    <w:rsid w:val="00AF7CB4"/>
    <w:rsid w:val="00B00961"/>
    <w:rsid w:val="00B12237"/>
    <w:rsid w:val="00B12438"/>
    <w:rsid w:val="00B12F3C"/>
    <w:rsid w:val="00B24FF7"/>
    <w:rsid w:val="00B2543C"/>
    <w:rsid w:val="00B26192"/>
    <w:rsid w:val="00B27AAC"/>
    <w:rsid w:val="00B40A47"/>
    <w:rsid w:val="00B40A66"/>
    <w:rsid w:val="00B50CF4"/>
    <w:rsid w:val="00B57B39"/>
    <w:rsid w:val="00B6632A"/>
    <w:rsid w:val="00B67C18"/>
    <w:rsid w:val="00B74F9C"/>
    <w:rsid w:val="00B76725"/>
    <w:rsid w:val="00B801E0"/>
    <w:rsid w:val="00B83422"/>
    <w:rsid w:val="00B841C1"/>
    <w:rsid w:val="00B8765A"/>
    <w:rsid w:val="00B955B3"/>
    <w:rsid w:val="00BA15F6"/>
    <w:rsid w:val="00BA32D8"/>
    <w:rsid w:val="00BA4420"/>
    <w:rsid w:val="00BB03D0"/>
    <w:rsid w:val="00BB11A8"/>
    <w:rsid w:val="00BB2026"/>
    <w:rsid w:val="00BC3B43"/>
    <w:rsid w:val="00BC5535"/>
    <w:rsid w:val="00BC7E20"/>
    <w:rsid w:val="00BD670A"/>
    <w:rsid w:val="00BE02A7"/>
    <w:rsid w:val="00BE2788"/>
    <w:rsid w:val="00BE6F4C"/>
    <w:rsid w:val="00BE7E70"/>
    <w:rsid w:val="00BF460C"/>
    <w:rsid w:val="00BF5F9C"/>
    <w:rsid w:val="00C02F99"/>
    <w:rsid w:val="00C03778"/>
    <w:rsid w:val="00C05D8E"/>
    <w:rsid w:val="00C06B20"/>
    <w:rsid w:val="00C06CBE"/>
    <w:rsid w:val="00C07791"/>
    <w:rsid w:val="00C11863"/>
    <w:rsid w:val="00C123C3"/>
    <w:rsid w:val="00C126DF"/>
    <w:rsid w:val="00C15DBB"/>
    <w:rsid w:val="00C22071"/>
    <w:rsid w:val="00C25B78"/>
    <w:rsid w:val="00C2641C"/>
    <w:rsid w:val="00C444EA"/>
    <w:rsid w:val="00C453CE"/>
    <w:rsid w:val="00C50DF8"/>
    <w:rsid w:val="00C5114A"/>
    <w:rsid w:val="00C55BB5"/>
    <w:rsid w:val="00C56242"/>
    <w:rsid w:val="00C642A4"/>
    <w:rsid w:val="00C64953"/>
    <w:rsid w:val="00C65992"/>
    <w:rsid w:val="00C745E3"/>
    <w:rsid w:val="00C75C2E"/>
    <w:rsid w:val="00C766EF"/>
    <w:rsid w:val="00C773FC"/>
    <w:rsid w:val="00C807AA"/>
    <w:rsid w:val="00C80EE6"/>
    <w:rsid w:val="00C817A7"/>
    <w:rsid w:val="00C84AD6"/>
    <w:rsid w:val="00C861B2"/>
    <w:rsid w:val="00CA1D86"/>
    <w:rsid w:val="00CA222B"/>
    <w:rsid w:val="00CA2A8B"/>
    <w:rsid w:val="00CA65E9"/>
    <w:rsid w:val="00CB0018"/>
    <w:rsid w:val="00CB4339"/>
    <w:rsid w:val="00CB6A55"/>
    <w:rsid w:val="00CC06D4"/>
    <w:rsid w:val="00CC1890"/>
    <w:rsid w:val="00CC480B"/>
    <w:rsid w:val="00CC530F"/>
    <w:rsid w:val="00CC6F76"/>
    <w:rsid w:val="00CC72C5"/>
    <w:rsid w:val="00CC7310"/>
    <w:rsid w:val="00CD332E"/>
    <w:rsid w:val="00CD41C2"/>
    <w:rsid w:val="00CD4E6A"/>
    <w:rsid w:val="00CD5A34"/>
    <w:rsid w:val="00CE06FC"/>
    <w:rsid w:val="00CE4335"/>
    <w:rsid w:val="00D02906"/>
    <w:rsid w:val="00D03331"/>
    <w:rsid w:val="00D071AB"/>
    <w:rsid w:val="00D073EA"/>
    <w:rsid w:val="00D12776"/>
    <w:rsid w:val="00D2092D"/>
    <w:rsid w:val="00D31AFE"/>
    <w:rsid w:val="00D332D6"/>
    <w:rsid w:val="00D346FC"/>
    <w:rsid w:val="00D35444"/>
    <w:rsid w:val="00D3691D"/>
    <w:rsid w:val="00D371C4"/>
    <w:rsid w:val="00D44063"/>
    <w:rsid w:val="00D44541"/>
    <w:rsid w:val="00D50E81"/>
    <w:rsid w:val="00D634D8"/>
    <w:rsid w:val="00D63C2D"/>
    <w:rsid w:val="00D651FF"/>
    <w:rsid w:val="00D71DEB"/>
    <w:rsid w:val="00D73882"/>
    <w:rsid w:val="00D80609"/>
    <w:rsid w:val="00D82BB6"/>
    <w:rsid w:val="00DA08E9"/>
    <w:rsid w:val="00DA100A"/>
    <w:rsid w:val="00DA19D1"/>
    <w:rsid w:val="00DA25AD"/>
    <w:rsid w:val="00DA73E5"/>
    <w:rsid w:val="00DB0090"/>
    <w:rsid w:val="00DB1679"/>
    <w:rsid w:val="00DB335D"/>
    <w:rsid w:val="00DB462A"/>
    <w:rsid w:val="00DC2F1C"/>
    <w:rsid w:val="00DC2F84"/>
    <w:rsid w:val="00DC4BA2"/>
    <w:rsid w:val="00DC57F3"/>
    <w:rsid w:val="00DD4C8D"/>
    <w:rsid w:val="00DD7FB4"/>
    <w:rsid w:val="00DE3A6C"/>
    <w:rsid w:val="00DE78E8"/>
    <w:rsid w:val="00DE7BD3"/>
    <w:rsid w:val="00DF1C7E"/>
    <w:rsid w:val="00DF4AB0"/>
    <w:rsid w:val="00DF66EE"/>
    <w:rsid w:val="00E00371"/>
    <w:rsid w:val="00E07A31"/>
    <w:rsid w:val="00E17346"/>
    <w:rsid w:val="00E23047"/>
    <w:rsid w:val="00E23270"/>
    <w:rsid w:val="00E309FD"/>
    <w:rsid w:val="00E403D4"/>
    <w:rsid w:val="00E41AAF"/>
    <w:rsid w:val="00E50150"/>
    <w:rsid w:val="00E5049F"/>
    <w:rsid w:val="00E61308"/>
    <w:rsid w:val="00E61E70"/>
    <w:rsid w:val="00E67E38"/>
    <w:rsid w:val="00E76995"/>
    <w:rsid w:val="00E80E43"/>
    <w:rsid w:val="00E8311C"/>
    <w:rsid w:val="00E87A04"/>
    <w:rsid w:val="00E922B4"/>
    <w:rsid w:val="00E97970"/>
    <w:rsid w:val="00EA30DA"/>
    <w:rsid w:val="00EA4003"/>
    <w:rsid w:val="00EB0151"/>
    <w:rsid w:val="00EB7ED2"/>
    <w:rsid w:val="00EC43C8"/>
    <w:rsid w:val="00ED3F02"/>
    <w:rsid w:val="00ED457C"/>
    <w:rsid w:val="00EE0B92"/>
    <w:rsid w:val="00EE0F0E"/>
    <w:rsid w:val="00EE68D2"/>
    <w:rsid w:val="00EF14B7"/>
    <w:rsid w:val="00EF44AD"/>
    <w:rsid w:val="00F011DD"/>
    <w:rsid w:val="00F014F8"/>
    <w:rsid w:val="00F057A1"/>
    <w:rsid w:val="00F13937"/>
    <w:rsid w:val="00F162EF"/>
    <w:rsid w:val="00F17267"/>
    <w:rsid w:val="00F23387"/>
    <w:rsid w:val="00F27587"/>
    <w:rsid w:val="00F307F9"/>
    <w:rsid w:val="00F3131F"/>
    <w:rsid w:val="00F32538"/>
    <w:rsid w:val="00F34A00"/>
    <w:rsid w:val="00F34D93"/>
    <w:rsid w:val="00F50728"/>
    <w:rsid w:val="00F62AEB"/>
    <w:rsid w:val="00F66A6D"/>
    <w:rsid w:val="00F72010"/>
    <w:rsid w:val="00F76428"/>
    <w:rsid w:val="00F77798"/>
    <w:rsid w:val="00F778F0"/>
    <w:rsid w:val="00F77B4D"/>
    <w:rsid w:val="00F820F7"/>
    <w:rsid w:val="00F832EB"/>
    <w:rsid w:val="00F83A44"/>
    <w:rsid w:val="00F85C22"/>
    <w:rsid w:val="00F86B12"/>
    <w:rsid w:val="00F87AC6"/>
    <w:rsid w:val="00F979AC"/>
    <w:rsid w:val="00FA1DC1"/>
    <w:rsid w:val="00FA6353"/>
    <w:rsid w:val="00FB32DE"/>
    <w:rsid w:val="00FB7A50"/>
    <w:rsid w:val="00FC0DF5"/>
    <w:rsid w:val="00FC3697"/>
    <w:rsid w:val="00FC44B5"/>
    <w:rsid w:val="00FC6127"/>
    <w:rsid w:val="00FC7A4D"/>
    <w:rsid w:val="00FD08A0"/>
    <w:rsid w:val="00FD2E42"/>
    <w:rsid w:val="00FD4AA6"/>
    <w:rsid w:val="00FD55B2"/>
    <w:rsid w:val="00FE2B9E"/>
    <w:rsid w:val="00FE6555"/>
    <w:rsid w:val="00FE6AA0"/>
    <w:rsid w:val="00FF13BC"/>
    <w:rsid w:val="00FF51E1"/>
    <w:rsid w:val="01BE4759"/>
    <w:rsid w:val="02353A89"/>
    <w:rsid w:val="057810E3"/>
    <w:rsid w:val="09BE5C4E"/>
    <w:rsid w:val="0C402847"/>
    <w:rsid w:val="0FAF76A8"/>
    <w:rsid w:val="117E90B9"/>
    <w:rsid w:val="136506D1"/>
    <w:rsid w:val="1542235D"/>
    <w:rsid w:val="17AF75E9"/>
    <w:rsid w:val="1B9F3AB2"/>
    <w:rsid w:val="25073205"/>
    <w:rsid w:val="25320758"/>
    <w:rsid w:val="25785DA9"/>
    <w:rsid w:val="278B188D"/>
    <w:rsid w:val="2AC2024E"/>
    <w:rsid w:val="2B9056E6"/>
    <w:rsid w:val="2BDFB16F"/>
    <w:rsid w:val="326FBCFF"/>
    <w:rsid w:val="32F469A7"/>
    <w:rsid w:val="35FB3456"/>
    <w:rsid w:val="3697705D"/>
    <w:rsid w:val="370C2528"/>
    <w:rsid w:val="37A17CE4"/>
    <w:rsid w:val="37F5E4E4"/>
    <w:rsid w:val="37F6B07A"/>
    <w:rsid w:val="37F8A718"/>
    <w:rsid w:val="38211DDE"/>
    <w:rsid w:val="3DCF47E9"/>
    <w:rsid w:val="3FFB0D37"/>
    <w:rsid w:val="3FFEB891"/>
    <w:rsid w:val="41D36158"/>
    <w:rsid w:val="435F1080"/>
    <w:rsid w:val="43FB1032"/>
    <w:rsid w:val="4663199C"/>
    <w:rsid w:val="46BF9721"/>
    <w:rsid w:val="4A177B54"/>
    <w:rsid w:val="4F11005F"/>
    <w:rsid w:val="4F2204BE"/>
    <w:rsid w:val="4FA41450"/>
    <w:rsid w:val="51C30BE7"/>
    <w:rsid w:val="52C848F0"/>
    <w:rsid w:val="54420BCB"/>
    <w:rsid w:val="54835F6E"/>
    <w:rsid w:val="572D6D23"/>
    <w:rsid w:val="58D7F390"/>
    <w:rsid w:val="58EC434C"/>
    <w:rsid w:val="5A913141"/>
    <w:rsid w:val="5CDD27E4"/>
    <w:rsid w:val="5FB37196"/>
    <w:rsid w:val="62F835B8"/>
    <w:rsid w:val="67FD0F45"/>
    <w:rsid w:val="69C57E05"/>
    <w:rsid w:val="6A4F2A8B"/>
    <w:rsid w:val="6A9B4AFD"/>
    <w:rsid w:val="6CED66A9"/>
    <w:rsid w:val="6DFF13B9"/>
    <w:rsid w:val="6E274E4C"/>
    <w:rsid w:val="6EBFDBDB"/>
    <w:rsid w:val="6FFEC120"/>
    <w:rsid w:val="749D18B7"/>
    <w:rsid w:val="74B017E6"/>
    <w:rsid w:val="76E71A1A"/>
    <w:rsid w:val="77B9EE6D"/>
    <w:rsid w:val="77F764F0"/>
    <w:rsid w:val="7858539D"/>
    <w:rsid w:val="7B7F75E5"/>
    <w:rsid w:val="7BCF7770"/>
    <w:rsid w:val="7CD77360"/>
    <w:rsid w:val="7DBF135D"/>
    <w:rsid w:val="7DEF91D4"/>
    <w:rsid w:val="7F124915"/>
    <w:rsid w:val="7F192494"/>
    <w:rsid w:val="7FB5A911"/>
    <w:rsid w:val="7FBB1ABD"/>
    <w:rsid w:val="7FBFC360"/>
    <w:rsid w:val="7FC9A1A5"/>
    <w:rsid w:val="7FD92482"/>
    <w:rsid w:val="87BF6C08"/>
    <w:rsid w:val="91FFFF3E"/>
    <w:rsid w:val="9BF3208D"/>
    <w:rsid w:val="9FBF1976"/>
    <w:rsid w:val="9FE7EAF9"/>
    <w:rsid w:val="AFFE8DEF"/>
    <w:rsid w:val="B7CF7FD6"/>
    <w:rsid w:val="BA791012"/>
    <w:rsid w:val="C7FE4904"/>
    <w:rsid w:val="C95A75C1"/>
    <w:rsid w:val="CBDDFC8B"/>
    <w:rsid w:val="D57704FC"/>
    <w:rsid w:val="DA972848"/>
    <w:rsid w:val="DF73CBA4"/>
    <w:rsid w:val="DFE50396"/>
    <w:rsid w:val="DFE906C9"/>
    <w:rsid w:val="E26B75AD"/>
    <w:rsid w:val="EB7AB2D7"/>
    <w:rsid w:val="EFB592C2"/>
    <w:rsid w:val="F8CD7E25"/>
    <w:rsid w:val="F9B7A2D3"/>
    <w:rsid w:val="FA9A0108"/>
    <w:rsid w:val="FABF418E"/>
    <w:rsid w:val="FABF6897"/>
    <w:rsid w:val="FBFFECDA"/>
    <w:rsid w:val="FD0FFA3C"/>
    <w:rsid w:val="FDB7A54B"/>
    <w:rsid w:val="FDF9A03B"/>
    <w:rsid w:val="FDFF544A"/>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2"/>
    <w:basedOn w:val="1"/>
    <w:next w:val="1"/>
    <w:qFormat/>
    <w:uiPriority w:val="0"/>
    <w:pPr>
      <w:widowControl/>
      <w:spacing w:before="100" w:beforeAutospacing="1" w:after="100" w:afterAutospacing="1"/>
      <w:jc w:val="left"/>
      <w:outlineLvl w:val="1"/>
    </w:pPr>
    <w:rPr>
      <w:rFonts w:ascii="宋体" w:hAnsi="宋体" w:cs="宋体"/>
      <w:b/>
      <w:bCs/>
      <w:kern w:val="0"/>
      <w:sz w:val="36"/>
      <w:szCs w:val="36"/>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3">
    <w:name w:val="Default Paragraph Font"/>
    <w:unhideWhenUsed/>
    <w:qFormat/>
    <w:uiPriority w:val="1"/>
  </w:style>
  <w:style w:type="table" w:default="1" w:styleId="11">
    <w:name w:val="Normal Table"/>
    <w:unhideWhenUsed/>
    <w:qFormat/>
    <w:uiPriority w:val="99"/>
    <w:tblPr>
      <w:tblCellMar>
        <w:top w:w="0" w:type="dxa"/>
        <w:left w:w="108" w:type="dxa"/>
        <w:bottom w:w="0" w:type="dxa"/>
        <w:right w:w="108" w:type="dxa"/>
      </w:tblCellMar>
    </w:tblPr>
  </w:style>
  <w:style w:type="paragraph" w:styleId="5">
    <w:name w:val="Body Text Indent"/>
    <w:basedOn w:val="1"/>
    <w:qFormat/>
    <w:uiPriority w:val="0"/>
    <w:pPr>
      <w:widowControl/>
      <w:spacing w:before="100" w:beforeAutospacing="1" w:after="100" w:afterAutospacing="1"/>
      <w:jc w:val="left"/>
    </w:pPr>
    <w:rPr>
      <w:rFonts w:ascii="宋体" w:hAnsi="宋体" w:cs="宋体"/>
      <w:kern w:val="0"/>
      <w:sz w:val="24"/>
    </w:rPr>
  </w:style>
  <w:style w:type="paragraph" w:styleId="6">
    <w:name w:val="Body Text Indent 2"/>
    <w:basedOn w:val="1"/>
    <w:qFormat/>
    <w:uiPriority w:val="0"/>
    <w:pPr>
      <w:widowControl/>
      <w:spacing w:before="100" w:beforeAutospacing="1" w:after="100" w:afterAutospacing="1"/>
      <w:jc w:val="left"/>
    </w:pPr>
    <w:rPr>
      <w:rFonts w:ascii="宋体" w:hAnsi="宋体" w:cs="宋体"/>
      <w:kern w:val="0"/>
      <w:sz w:val="24"/>
    </w:rPr>
  </w:style>
  <w:style w:type="paragraph" w:styleId="7">
    <w:name w:val="Balloon Text"/>
    <w:basedOn w:val="1"/>
    <w:semiHidden/>
    <w:qFormat/>
    <w:uiPriority w:val="0"/>
    <w:rPr>
      <w:sz w:val="18"/>
      <w:szCs w:val="18"/>
    </w:rPr>
  </w:style>
  <w:style w:type="paragraph" w:styleId="8">
    <w:name w:val="footer"/>
    <w:basedOn w:val="1"/>
    <w:qFormat/>
    <w:uiPriority w:val="0"/>
    <w:pPr>
      <w:tabs>
        <w:tab w:val="center" w:pos="4153"/>
        <w:tab w:val="right" w:pos="8306"/>
      </w:tabs>
      <w:snapToGrid w:val="0"/>
      <w:jc w:val="left"/>
    </w:pPr>
    <w:rPr>
      <w:sz w:val="18"/>
      <w:szCs w:val="18"/>
    </w:rPr>
  </w:style>
  <w:style w:type="paragraph" w:styleId="9">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qFormat/>
    <w:uiPriority w:val="0"/>
    <w:rPr>
      <w:b/>
      <w:bCs/>
    </w:rPr>
  </w:style>
  <w:style w:type="character" w:styleId="15">
    <w:name w:val="Hyperlink"/>
    <w:qFormat/>
    <w:uiPriority w:val="0"/>
    <w:rPr>
      <w:color w:val="0068B7"/>
      <w:u w:val="none"/>
    </w:rPr>
  </w:style>
  <w:style w:type="character" w:customStyle="1" w:styleId="16">
    <w:name w:val="141"/>
    <w:qFormat/>
    <w:uiPriority w:val="0"/>
    <w:rPr>
      <w:sz w:val="21"/>
      <w:szCs w:val="21"/>
    </w:rPr>
  </w:style>
  <w:style w:type="character" w:customStyle="1" w:styleId="17">
    <w:name w:val="ztag pre"/>
    <w:basedOn w:val="13"/>
    <w:qFormat/>
    <w:uiPriority w:val="0"/>
  </w:style>
  <w:style w:type="character" w:customStyle="1" w:styleId="18">
    <w:name w:val="已访问的超链接1"/>
    <w:qFormat/>
    <w:uiPriority w:val="0"/>
    <w:rPr>
      <w:color w:val="800080"/>
      <w:u w:val="single"/>
    </w:rPr>
  </w:style>
  <w:style w:type="paragraph" w:customStyle="1" w:styleId="19">
    <w:name w:val="List Paragraph"/>
    <w:basedOn w:val="1"/>
    <w:qFormat/>
    <w:uiPriority w:val="34"/>
    <w:pPr>
      <w:ind w:firstLine="420" w:firstLineChars="200"/>
    </w:pPr>
  </w:style>
  <w:style w:type="paragraph" w:customStyle="1" w:styleId="20">
    <w:name w:val="Default"/>
    <w:basedOn w:val="1"/>
    <w:qFormat/>
    <w:uiPriority w:val="0"/>
    <w:pPr>
      <w:keepNext w:val="0"/>
      <w:keepLines w:val="0"/>
      <w:widowControl w:val="0"/>
      <w:suppressLineNumbers w:val="0"/>
      <w:autoSpaceDE w:val="0"/>
      <w:autoSpaceDN w:val="0"/>
      <w:adjustRightInd w:val="0"/>
      <w:spacing w:before="0" w:beforeAutospacing="0" w:after="0" w:afterAutospacing="0"/>
      <w:ind w:left="0" w:right="0"/>
      <w:jc w:val="left"/>
    </w:pPr>
    <w:rPr>
      <w:rFonts w:hint="eastAsia" w:ascii="宋体" w:hAnsi="Times New Roman" w:eastAsia="宋体" w:cs="宋体"/>
      <w:color w:val="000000"/>
      <w:kern w:val="0"/>
      <w:sz w:val="24"/>
      <w:szCs w:val="24"/>
      <w:lang w:val="en-US" w:eastAsia="zh-CN" w:bidi="ar"/>
    </w:rPr>
  </w:style>
  <w:style w:type="paragraph" w:customStyle="1" w:styleId="21">
    <w:name w:val="列表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Microsoft</Company>
  <Pages>10</Pages>
  <Words>2772</Words>
  <Characters>4027</Characters>
  <Lines>1</Lines>
  <Paragraphs>1</Paragraphs>
  <TotalTime>0</TotalTime>
  <ScaleCrop>false</ScaleCrop>
  <LinksUpToDate>false</LinksUpToDate>
  <CharactersWithSpaces>4199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2020-05-07T13:27:00Z</dcterms:created>
  <dc:creator>全美国际教育协会</dc:creator>
  <cp:lastModifiedBy>十年前菇凉</cp:lastModifiedBy>
  <cp:lastPrinted>2011-12-31T08:54:00Z</cp:lastPrinted>
  <dcterms:modified xsi:type="dcterms:W3CDTF">2026-03-20T07:26:18Z</dcterms:modified>
  <dc:title>加州大学河滨分校短期访学项目</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8B5479660EDD4C3731672969A488C010_43</vt:lpwstr>
  </property>
  <property fmtid="{D5CDD505-2E9C-101B-9397-08002B2CF9AE}" pid="4" name="KSOTemplateDocerSaveRecord">
    <vt:lpwstr>eyJoZGlkIjoiODAxYTAxYTM0YzdkZGEzYmNhNDgyODM1ZTkzMjY4OTEiLCJ1c2VySWQiOiI3NTA0ODkyNDkifQ==</vt:lpwstr>
  </property>
</Properties>
</file>